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81D82" w:rsidR="00FF4F2F" w:rsidP="00381A9B" w:rsidRDefault="00935DCA" w14:paraId="2165B195" w14:textId="59D88689">
      <w:pPr>
        <w:spacing w:after="120"/>
        <w:rPr>
          <w:b/>
          <w:bCs/>
          <w:color w:val="000000" w:themeColor="text1"/>
        </w:rPr>
      </w:pPr>
      <w:r w:rsidRPr="00B81D82">
        <w:rPr>
          <w:b/>
          <w:bCs/>
          <w:noProof/>
          <w:color w:val="000000" w:themeColor="text1"/>
        </w:rPr>
        <w:drawing>
          <wp:inline distT="0" distB="0" distL="0" distR="0" wp14:anchorId="62AE1A79" wp14:editId="19A9E84F">
            <wp:extent cx="2889250" cy="1518581"/>
            <wp:effectExtent l="0" t="0" r="6350" b="5715"/>
            <wp:docPr id="10317733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73305" name="Image 10317733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98" cy="152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D82" w:rsidR="00FF4F2F" w:rsidP="00381A9B" w:rsidRDefault="00FF4F2F" w14:paraId="2AC6E009" w14:textId="77777777">
      <w:pPr>
        <w:spacing w:after="120"/>
        <w:rPr>
          <w:b/>
          <w:bCs/>
          <w:color w:val="000000" w:themeColor="text1"/>
        </w:rPr>
      </w:pPr>
    </w:p>
    <w:p w:rsidRPr="00B81D82" w:rsidR="001E3E32" w:rsidP="00381A9B" w:rsidRDefault="00066E61" w14:paraId="0EB8DCA6" w14:textId="2673FC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b/>
          <w:bCs/>
          <w:color w:val="000000" w:themeColor="text1"/>
        </w:rPr>
      </w:pPr>
      <w:r w:rsidRPr="00B81D82">
        <w:rPr>
          <w:b/>
          <w:bCs/>
          <w:color w:val="000000" w:themeColor="text1"/>
        </w:rPr>
        <w:t xml:space="preserve">REGLEMENT </w:t>
      </w:r>
      <w:r w:rsidRPr="00B81D82" w:rsidR="047E19EB">
        <w:rPr>
          <w:b/>
          <w:bCs/>
          <w:color w:val="000000" w:themeColor="text1"/>
        </w:rPr>
        <w:t>DE LA BOURSE</w:t>
      </w:r>
      <w:r w:rsidRPr="00B81D82" w:rsidR="00FF4F2F">
        <w:rPr>
          <w:b/>
          <w:bCs/>
          <w:color w:val="000000" w:themeColor="text1"/>
        </w:rPr>
        <w:t xml:space="preserve"> </w:t>
      </w:r>
      <w:r w:rsidRPr="00B81D82" w:rsidR="00FF4F2F">
        <w:rPr>
          <w:b/>
          <w:bCs/>
          <w:caps/>
          <w:color w:val="000000" w:themeColor="text1"/>
        </w:rPr>
        <w:t xml:space="preserve">territoriale </w:t>
      </w:r>
      <w:r w:rsidRPr="00B81D82" w:rsidR="00107E93">
        <w:rPr>
          <w:b/>
          <w:bCs/>
          <w:caps/>
          <w:color w:val="000000" w:themeColor="text1"/>
        </w:rPr>
        <w:t>D</w:t>
      </w:r>
      <w:r w:rsidRPr="00B81D82" w:rsidR="005212CF">
        <w:rPr>
          <w:b/>
          <w:bCs/>
          <w:caps/>
          <w:color w:val="000000" w:themeColor="text1"/>
        </w:rPr>
        <w:t>e l’</w:t>
      </w:r>
      <w:r w:rsidRPr="00B81D82" w:rsidR="00107E93">
        <w:rPr>
          <w:b/>
          <w:bCs/>
          <w:caps/>
          <w:color w:val="000000" w:themeColor="text1"/>
        </w:rPr>
        <w:t>INNOVATION</w:t>
      </w:r>
      <w:r w:rsidRPr="00B81D82" w:rsidR="002E255B">
        <w:rPr>
          <w:b/>
          <w:bCs/>
          <w:caps/>
          <w:color w:val="000000" w:themeColor="text1"/>
        </w:rPr>
        <w:t xml:space="preserve"> 2025</w:t>
      </w:r>
    </w:p>
    <w:p w:rsidRPr="00B81D82" w:rsidR="001E3E32" w:rsidP="00381A9B" w:rsidRDefault="222B2B48" w14:paraId="0C7BC41E" w14:textId="6E5BF5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b/>
          <w:bCs/>
          <w:color w:val="000000" w:themeColor="text1"/>
        </w:rPr>
      </w:pPr>
      <w:r w:rsidRPr="00B81D82">
        <w:rPr>
          <w:b/>
          <w:bCs/>
          <w:color w:val="000000" w:themeColor="text1"/>
        </w:rPr>
        <w:t xml:space="preserve"> « </w:t>
      </w:r>
      <w:r w:rsidRPr="00B81D82" w:rsidR="00107E93">
        <w:rPr>
          <w:b/>
          <w:bCs/>
          <w:color w:val="000000" w:themeColor="text1"/>
        </w:rPr>
        <w:t>Bien</w:t>
      </w:r>
      <w:r w:rsidRPr="00B81D82">
        <w:rPr>
          <w:b/>
          <w:bCs/>
          <w:color w:val="000000" w:themeColor="text1"/>
        </w:rPr>
        <w:t xml:space="preserve"> vivre et bien vieillir dans nos villes »</w:t>
      </w:r>
    </w:p>
    <w:p w:rsidRPr="00B81D82" w:rsidR="000418A1" w:rsidP="000418A1" w:rsidRDefault="000418A1" w14:paraId="390A5CC2" w14:textId="77777777">
      <w:pPr>
        <w:spacing w:before="240" w:after="120"/>
        <w:rPr>
          <w:rFonts w:cstheme="minorHAnsi"/>
          <w:b/>
          <w:bCs/>
          <w:color w:val="000000" w:themeColor="text1"/>
        </w:rPr>
      </w:pPr>
    </w:p>
    <w:p w:rsidRPr="00B81D82" w:rsidR="005B7E49" w:rsidP="000418A1" w:rsidRDefault="001E3E32" w14:paraId="2735CAEE" w14:textId="10160D56">
      <w:pPr>
        <w:spacing w:before="240" w:after="120"/>
        <w:rPr>
          <w:rFonts w:cstheme="minorHAnsi"/>
          <w:b/>
          <w:bCs/>
          <w:color w:val="000000" w:themeColor="text1"/>
        </w:rPr>
      </w:pPr>
      <w:r w:rsidRPr="00B81D82">
        <w:rPr>
          <w:rFonts w:cstheme="minorHAnsi"/>
          <w:b/>
          <w:bCs/>
          <w:color w:val="000000" w:themeColor="text1"/>
        </w:rPr>
        <w:t>PREAMBULE</w:t>
      </w:r>
    </w:p>
    <w:p w:rsidRPr="00B81D82" w:rsidR="00F40D07" w:rsidP="00844187" w:rsidRDefault="00F40D07" w14:paraId="06C781FC" w14:textId="37537349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Le territoire Grand-Orly Seine Bièvre a décidé de relancer en 2025</w:t>
      </w:r>
      <w:r w:rsidRPr="00B81D82" w:rsidR="00A022A9">
        <w:rPr>
          <w:color w:val="000000" w:themeColor="text1"/>
        </w:rPr>
        <w:t xml:space="preserve"> </w:t>
      </w:r>
      <w:r w:rsidRPr="00B81D82">
        <w:rPr>
          <w:color w:val="000000" w:themeColor="text1"/>
        </w:rPr>
        <w:t>la "Bourse territoriale de l’innovation".</w:t>
      </w:r>
    </w:p>
    <w:p w:rsidRPr="00B81D82" w:rsidR="008D0032" w:rsidP="00844187" w:rsidRDefault="005B4167" w14:paraId="76973671" w14:textId="4F8E3B52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Le Grand</w:t>
      </w:r>
      <w:r w:rsidRPr="00B81D82" w:rsidR="005212CF">
        <w:rPr>
          <w:color w:val="000000" w:themeColor="text1"/>
        </w:rPr>
        <w:t>-</w:t>
      </w:r>
      <w:r w:rsidRPr="00B81D82">
        <w:rPr>
          <w:color w:val="000000" w:themeColor="text1"/>
        </w:rPr>
        <w:t xml:space="preserve">Orly Seine Bièvre </w:t>
      </w:r>
      <w:r w:rsidRPr="00B81D82" w:rsidR="001E3E32">
        <w:rPr>
          <w:color w:val="000000" w:themeColor="text1"/>
        </w:rPr>
        <w:t xml:space="preserve">est </w:t>
      </w:r>
      <w:r w:rsidRPr="00B81D82" w:rsidR="008D0032">
        <w:rPr>
          <w:color w:val="000000" w:themeColor="text1"/>
        </w:rPr>
        <w:t xml:space="preserve">un territoire innovant </w:t>
      </w:r>
      <w:r w:rsidRPr="00B81D82" w:rsidR="006E7C28">
        <w:rPr>
          <w:color w:val="000000" w:themeColor="text1"/>
        </w:rPr>
        <w:t>du fait de</w:t>
      </w:r>
      <w:r w:rsidRPr="00B81D82" w:rsidR="008D0032">
        <w:rPr>
          <w:color w:val="000000" w:themeColor="text1"/>
        </w:rPr>
        <w:t xml:space="preserve"> la diversité des acteurs initiateurs d’innovation qui y sont implantés mais aussi </w:t>
      </w:r>
      <w:r w:rsidR="006E7C28">
        <w:rPr>
          <w:color w:val="000000" w:themeColor="text1"/>
        </w:rPr>
        <w:t>des</w:t>
      </w:r>
      <w:r w:rsidRPr="00B81D82" w:rsidR="008D0032">
        <w:rPr>
          <w:color w:val="000000" w:themeColor="text1"/>
        </w:rPr>
        <w:t xml:space="preserve"> actions qu</w:t>
      </w:r>
      <w:r w:rsidRPr="00B81D82" w:rsidR="00490C44">
        <w:rPr>
          <w:color w:val="000000" w:themeColor="text1"/>
        </w:rPr>
        <w:t>e le territoire</w:t>
      </w:r>
      <w:r w:rsidRPr="00B81D82" w:rsidR="008D0032">
        <w:rPr>
          <w:color w:val="000000" w:themeColor="text1"/>
        </w:rPr>
        <w:t xml:space="preserve"> porte pour favoriser l’émergence d’innovation</w:t>
      </w:r>
      <w:r w:rsidRPr="00B81D82" w:rsidR="00EB3B07">
        <w:rPr>
          <w:color w:val="000000" w:themeColor="text1"/>
        </w:rPr>
        <w:t>s</w:t>
      </w:r>
      <w:r w:rsidRPr="00B81D82" w:rsidR="008D0032">
        <w:rPr>
          <w:color w:val="000000" w:themeColor="text1"/>
        </w:rPr>
        <w:t xml:space="preserve"> </w:t>
      </w:r>
      <w:r w:rsidRPr="00B81D82" w:rsidR="08525FD1">
        <w:rPr>
          <w:color w:val="000000" w:themeColor="text1"/>
        </w:rPr>
        <w:t>en accompagn</w:t>
      </w:r>
      <w:r w:rsidRPr="00B81D82" w:rsidR="0CD51E11">
        <w:rPr>
          <w:color w:val="000000" w:themeColor="text1"/>
        </w:rPr>
        <w:t>e</w:t>
      </w:r>
      <w:r w:rsidRPr="00B81D82" w:rsidR="08525FD1">
        <w:rPr>
          <w:color w:val="000000" w:themeColor="text1"/>
        </w:rPr>
        <w:t>ment de l’ensemble de ses</w:t>
      </w:r>
      <w:r w:rsidRPr="00B81D82" w:rsidR="4AC9CECC">
        <w:rPr>
          <w:color w:val="000000" w:themeColor="text1"/>
        </w:rPr>
        <w:t xml:space="preserve"> </w:t>
      </w:r>
      <w:r w:rsidRPr="00B81D82" w:rsidR="08525FD1">
        <w:rPr>
          <w:color w:val="000000" w:themeColor="text1"/>
        </w:rPr>
        <w:t xml:space="preserve">politiques publiques. </w:t>
      </w:r>
      <w:r w:rsidRPr="00B81D82" w:rsidR="00117E71">
        <w:rPr>
          <w:color w:val="000000" w:themeColor="text1"/>
        </w:rPr>
        <w:t>L’</w:t>
      </w:r>
      <w:r w:rsidRPr="00B81D82" w:rsidR="008D0032">
        <w:rPr>
          <w:color w:val="000000" w:themeColor="text1"/>
        </w:rPr>
        <w:t xml:space="preserve">innovation dépasse le champ de la technologie et du développement économique. Elle </w:t>
      </w:r>
      <w:r w:rsidRPr="00B81D82" w:rsidR="0054598D">
        <w:rPr>
          <w:color w:val="000000" w:themeColor="text1"/>
        </w:rPr>
        <w:t xml:space="preserve">irrigue tous les domaines d’intervention de l’Etablissement Public </w:t>
      </w:r>
      <w:r w:rsidRPr="00B81D82" w:rsidR="0045324B">
        <w:rPr>
          <w:color w:val="000000" w:themeColor="text1"/>
        </w:rPr>
        <w:t>Territorial</w:t>
      </w:r>
      <w:r w:rsidRPr="00B81D82" w:rsidR="0054598D">
        <w:rPr>
          <w:color w:val="000000" w:themeColor="text1"/>
        </w:rPr>
        <w:t xml:space="preserve"> dont l’objectif premier est de participer au développement durable de son territoire à travers ses politiques </w:t>
      </w:r>
      <w:r w:rsidRPr="00B81D82" w:rsidR="00FF4F2F">
        <w:rPr>
          <w:color w:val="000000" w:themeColor="text1"/>
        </w:rPr>
        <w:t xml:space="preserve">publiques </w:t>
      </w:r>
      <w:r w:rsidRPr="00B81D82" w:rsidR="0054598D">
        <w:rPr>
          <w:color w:val="000000" w:themeColor="text1"/>
        </w:rPr>
        <w:t>d’aménagement, de renouvellement urbain, de déplacement, de logement, d’emploi,</w:t>
      </w:r>
      <w:r w:rsidRPr="00B81D82" w:rsidR="00490C44">
        <w:rPr>
          <w:color w:val="000000" w:themeColor="text1"/>
        </w:rPr>
        <w:t xml:space="preserve"> d’appui à l’économie sociale et solidaire</w:t>
      </w:r>
      <w:r w:rsidRPr="00B81D82" w:rsidR="0054598D">
        <w:rPr>
          <w:color w:val="000000" w:themeColor="text1"/>
        </w:rPr>
        <w:t xml:space="preserve"> …</w:t>
      </w:r>
      <w:r w:rsidRPr="00B81D82" w:rsidR="00206A91">
        <w:rPr>
          <w:color w:val="000000" w:themeColor="text1"/>
        </w:rPr>
        <w:t xml:space="preserve"> </w:t>
      </w:r>
      <w:r w:rsidRPr="00B81D82" w:rsidR="0054598D">
        <w:rPr>
          <w:color w:val="000000" w:themeColor="text1"/>
        </w:rPr>
        <w:t>en direction de l’ensemble de ses habitants dans toutes leurs diversités.</w:t>
      </w:r>
      <w:r w:rsidRPr="00B81D82" w:rsidR="008D0032">
        <w:rPr>
          <w:color w:val="000000" w:themeColor="text1"/>
        </w:rPr>
        <w:t xml:space="preserve"> </w:t>
      </w:r>
    </w:p>
    <w:p w:rsidRPr="00B81D82" w:rsidR="008D0032" w:rsidP="00844187" w:rsidRDefault="00FF4F2F" w14:paraId="5DD74C6A" w14:textId="59440316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Grand</w:t>
      </w:r>
      <w:r w:rsidRPr="00B81D82" w:rsidR="00206A91">
        <w:rPr>
          <w:color w:val="000000" w:themeColor="text1"/>
        </w:rPr>
        <w:t>-</w:t>
      </w:r>
      <w:r w:rsidRPr="00B81D82">
        <w:rPr>
          <w:color w:val="000000" w:themeColor="text1"/>
        </w:rPr>
        <w:t xml:space="preserve">Orly Seine Bièvre et les villes qui le composent ont toujours porté des actions destinées à relever les enjeux sociaux majeurs </w:t>
      </w:r>
      <w:r w:rsidRPr="00B81D82" w:rsidR="00960AB7">
        <w:rPr>
          <w:color w:val="000000" w:themeColor="text1"/>
        </w:rPr>
        <w:t>tels que</w:t>
      </w:r>
      <w:r w:rsidRPr="00B81D82">
        <w:rPr>
          <w:color w:val="000000" w:themeColor="text1"/>
        </w:rPr>
        <w:t xml:space="preserve"> la création du premier pôle de développement local de la silver économie pour répondre aux enjeux du </w:t>
      </w:r>
      <w:r w:rsidRPr="00B81D82" w:rsidR="00960AB7">
        <w:rPr>
          <w:color w:val="000000" w:themeColor="text1"/>
        </w:rPr>
        <w:t>vieillissement</w:t>
      </w:r>
      <w:r w:rsidRPr="00B81D82">
        <w:rPr>
          <w:color w:val="000000" w:themeColor="text1"/>
        </w:rPr>
        <w:t>, l</w:t>
      </w:r>
      <w:r w:rsidRPr="00B81D82" w:rsidR="00960AB7">
        <w:rPr>
          <w:color w:val="000000" w:themeColor="text1"/>
        </w:rPr>
        <w:t>a création du Cluster Eau-Milieux-Sols pour relever les défis environnementaux ou encore la création de la Fabrique de l’innovation.</w:t>
      </w:r>
    </w:p>
    <w:p w:rsidRPr="00B81D82" w:rsidR="00960AB7" w:rsidP="00844187" w:rsidRDefault="00107E93" w14:paraId="5B6DB0AB" w14:textId="6270E897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L’initiative</w:t>
      </w:r>
      <w:r w:rsidRPr="00B81D82" w:rsidR="00900A04">
        <w:rPr>
          <w:color w:val="000000" w:themeColor="text1"/>
        </w:rPr>
        <w:t xml:space="preserve"> </w:t>
      </w:r>
      <w:r w:rsidRPr="00B81D82" w:rsidR="00900A04">
        <w:rPr>
          <w:b/>
          <w:bCs/>
          <w:color w:val="000000" w:themeColor="text1"/>
        </w:rPr>
        <w:t xml:space="preserve">« bourse </w:t>
      </w:r>
      <w:r w:rsidRPr="00B81D82" w:rsidR="00960AB7">
        <w:rPr>
          <w:b/>
          <w:bCs/>
          <w:color w:val="000000" w:themeColor="text1"/>
        </w:rPr>
        <w:t>territoriale de l’</w:t>
      </w:r>
      <w:r w:rsidRPr="00B81D82" w:rsidR="00900A04">
        <w:rPr>
          <w:b/>
          <w:bCs/>
          <w:color w:val="000000" w:themeColor="text1"/>
        </w:rPr>
        <w:t>innovation »</w:t>
      </w:r>
      <w:r w:rsidRPr="00B81D82" w:rsidR="00900A04">
        <w:rPr>
          <w:color w:val="000000" w:themeColor="text1"/>
        </w:rPr>
        <w:t xml:space="preserve"> </w:t>
      </w:r>
      <w:r w:rsidRPr="00B81D82" w:rsidR="00960AB7">
        <w:rPr>
          <w:color w:val="000000" w:themeColor="text1"/>
        </w:rPr>
        <w:t>est destinée à</w:t>
      </w:r>
      <w:r w:rsidRPr="00B81D82" w:rsidR="00B64D2D">
        <w:rPr>
          <w:color w:val="000000" w:themeColor="text1"/>
        </w:rPr>
        <w:t xml:space="preserve"> mieux identifier et</w:t>
      </w:r>
      <w:r w:rsidRPr="00B81D82" w:rsidR="00960AB7">
        <w:rPr>
          <w:color w:val="000000" w:themeColor="text1"/>
        </w:rPr>
        <w:t xml:space="preserve"> valoriser ce foisonnement d’acteurs et de projets innovants du territoire. </w:t>
      </w:r>
      <w:r w:rsidRPr="00B81D82" w:rsidR="00B64D2D">
        <w:rPr>
          <w:color w:val="000000" w:themeColor="text1"/>
        </w:rPr>
        <w:t>Nombre de ces projets innovants rencontrent de fait nos politiques publiques, peuvent y contribuer et c’est pourquoi nous souhaitons les accompagner dans leur développement à travers cette bourse.</w:t>
      </w:r>
    </w:p>
    <w:p w:rsidRPr="00B81D82" w:rsidR="008C79D5" w:rsidP="00D24265" w:rsidRDefault="00490C44" w14:paraId="69FEAC65" w14:textId="44F5BE1E">
      <w:pPr>
        <w:spacing w:after="120"/>
        <w:rPr>
          <w:b/>
          <w:bCs/>
          <w:color w:val="000000" w:themeColor="text1"/>
          <w:lang w:eastAsia="fr-FR"/>
        </w:rPr>
      </w:pPr>
      <w:r w:rsidRPr="00B81D82">
        <w:rPr>
          <w:b/>
          <w:bCs/>
          <w:color w:val="000000" w:themeColor="text1"/>
        </w:rPr>
        <w:t xml:space="preserve">Enjeux sociétaux et potentiel économique seront </w:t>
      </w:r>
      <w:r w:rsidRPr="00B81D82" w:rsidR="008C79D5">
        <w:rPr>
          <w:b/>
          <w:bCs/>
          <w:color w:val="000000" w:themeColor="text1"/>
        </w:rPr>
        <w:t>les deux piliers de la bourse territoriale de l’innovation.</w:t>
      </w:r>
      <w:r w:rsidRPr="00B81D82">
        <w:rPr>
          <w:b/>
          <w:bCs/>
          <w:color w:val="000000" w:themeColor="text1"/>
        </w:rPr>
        <w:t xml:space="preserve"> </w:t>
      </w:r>
    </w:p>
    <w:p w:rsidRPr="00B81D82" w:rsidR="00900A04" w:rsidP="00D24265" w:rsidRDefault="00900A04" w14:paraId="797E2606" w14:textId="538CFE28">
      <w:pPr>
        <w:spacing w:before="240" w:after="120"/>
        <w:rPr>
          <w:rFonts w:eastAsia="Times New Roman" w:cstheme="minorHAnsi"/>
          <w:b/>
          <w:bCs/>
          <w:caps/>
          <w:color w:val="000000" w:themeColor="text1"/>
          <w:lang w:eastAsia="fr-FR"/>
        </w:rPr>
      </w:pPr>
      <w:r w:rsidRPr="00B81D82">
        <w:rPr>
          <w:rFonts w:eastAsia="Times New Roman" w:cstheme="minorHAnsi"/>
          <w:b/>
          <w:bCs/>
          <w:caps/>
          <w:color w:val="000000" w:themeColor="text1"/>
          <w:lang w:eastAsia="fr-FR"/>
        </w:rPr>
        <w:t xml:space="preserve">Article 1 </w:t>
      </w:r>
      <w:r w:rsidRPr="00B81D82" w:rsidR="00AF73B7">
        <w:rPr>
          <w:rFonts w:eastAsia="Times New Roman" w:cstheme="minorHAnsi"/>
          <w:b/>
          <w:bCs/>
          <w:caps/>
          <w:color w:val="000000" w:themeColor="text1"/>
          <w:lang w:eastAsia="fr-FR"/>
        </w:rPr>
        <w:t xml:space="preserve">- </w:t>
      </w:r>
      <w:r w:rsidRPr="00B81D82">
        <w:rPr>
          <w:rFonts w:eastAsia="Times New Roman" w:cstheme="minorHAnsi"/>
          <w:b/>
          <w:bCs/>
          <w:caps/>
          <w:color w:val="000000" w:themeColor="text1"/>
          <w:lang w:eastAsia="fr-FR"/>
        </w:rPr>
        <w:t>Objet du concours</w:t>
      </w:r>
    </w:p>
    <w:p w:rsidRPr="00B81D82" w:rsidR="00F40D07" w:rsidP="00D24265" w:rsidRDefault="00F40D07" w14:paraId="628634EC" w14:textId="2DDE5322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/>
          <w:color w:val="000000" w:themeColor="text1"/>
          <w:lang w:eastAsia="fr-FR"/>
        </w:rPr>
        <w:t xml:space="preserve">Pour cette deuxième édition, la Bourse continuera </w:t>
      </w:r>
      <w:r w:rsidRPr="00B81D82" w:rsidR="00A022A9">
        <w:rPr>
          <w:rFonts w:eastAsia="Times New Roman"/>
          <w:color w:val="000000" w:themeColor="text1"/>
          <w:lang w:eastAsia="fr-FR"/>
        </w:rPr>
        <w:t xml:space="preserve">en 2025 </w:t>
      </w:r>
      <w:r w:rsidRPr="00B81D82">
        <w:rPr>
          <w:rFonts w:eastAsia="Times New Roman"/>
          <w:color w:val="000000" w:themeColor="text1"/>
          <w:lang w:eastAsia="fr-FR"/>
        </w:rPr>
        <w:t xml:space="preserve">de mettre à l'honneur des projets qui contribuent au « Bien vivre et bien vieillir dans nos villes ».  </w:t>
      </w:r>
    </w:p>
    <w:p w:rsidRPr="00B81D82" w:rsidR="00DF56F4" w:rsidP="00381A9B" w:rsidRDefault="00900A04" w14:paraId="339C9A24" w14:textId="68699746">
      <w:pPr>
        <w:spacing w:after="120" w:line="259" w:lineRule="auto"/>
        <w:rPr>
          <w:color w:val="000000" w:themeColor="text1"/>
        </w:rPr>
      </w:pPr>
      <w:r w:rsidRPr="00B81D82">
        <w:rPr>
          <w:rFonts w:eastAsia="Times New Roman"/>
          <w:color w:val="000000" w:themeColor="text1"/>
          <w:lang w:eastAsia="fr-FR"/>
        </w:rPr>
        <w:t xml:space="preserve">Cette </w:t>
      </w:r>
      <w:r w:rsidRPr="00B81D82" w:rsidR="002A0683">
        <w:rPr>
          <w:rFonts w:eastAsia="Times New Roman"/>
          <w:color w:val="000000" w:themeColor="text1"/>
          <w:lang w:eastAsia="fr-FR"/>
        </w:rPr>
        <w:t>Initiati</w:t>
      </w:r>
      <w:r w:rsidRPr="00B81D82" w:rsidR="00240932">
        <w:rPr>
          <w:rFonts w:eastAsia="Times New Roman"/>
          <w:color w:val="000000" w:themeColor="text1"/>
          <w:lang w:eastAsia="fr-FR"/>
        </w:rPr>
        <w:t>ve</w:t>
      </w:r>
      <w:r w:rsidRPr="00B81D82" w:rsidR="382ED292">
        <w:rPr>
          <w:rFonts w:eastAsia="Times New Roman"/>
          <w:color w:val="000000" w:themeColor="text1"/>
          <w:lang w:eastAsia="fr-FR"/>
        </w:rPr>
        <w:t xml:space="preserve"> </w:t>
      </w:r>
      <w:r w:rsidRPr="00B81D82" w:rsidR="008C79D5">
        <w:rPr>
          <w:rFonts w:eastAsia="Times New Roman"/>
          <w:color w:val="000000" w:themeColor="text1"/>
          <w:lang w:eastAsia="fr-FR"/>
        </w:rPr>
        <w:t xml:space="preserve">s’adresse </w:t>
      </w:r>
      <w:r w:rsidRPr="00B81D82" w:rsidR="382ED292">
        <w:rPr>
          <w:rFonts w:eastAsia="Times New Roman"/>
          <w:color w:val="000000" w:themeColor="text1"/>
          <w:lang w:eastAsia="fr-FR"/>
        </w:rPr>
        <w:t>au</w:t>
      </w:r>
      <w:r w:rsidRPr="00B81D82" w:rsidR="008C79D5">
        <w:rPr>
          <w:rFonts w:eastAsia="Times New Roman"/>
          <w:color w:val="000000" w:themeColor="text1"/>
          <w:lang w:eastAsia="fr-FR"/>
        </w:rPr>
        <w:t>x</w:t>
      </w:r>
      <w:r w:rsidRPr="00B81D82" w:rsidR="382ED292">
        <w:rPr>
          <w:rFonts w:eastAsia="Times New Roman"/>
          <w:color w:val="000000" w:themeColor="text1"/>
          <w:lang w:eastAsia="fr-FR"/>
        </w:rPr>
        <w:t xml:space="preserve"> </w:t>
      </w:r>
      <w:r w:rsidRPr="00B81D82" w:rsidR="0045324B">
        <w:rPr>
          <w:rFonts w:eastAsia="Times New Roman"/>
          <w:color w:val="000000" w:themeColor="text1"/>
          <w:lang w:eastAsia="fr-FR"/>
        </w:rPr>
        <w:t>porteur</w:t>
      </w:r>
      <w:r w:rsidRPr="00B81D82" w:rsidR="00E40B22">
        <w:rPr>
          <w:rFonts w:eastAsia="Times New Roman"/>
          <w:color w:val="000000" w:themeColor="text1"/>
          <w:lang w:eastAsia="fr-FR"/>
        </w:rPr>
        <w:t>s</w:t>
      </w:r>
      <w:r w:rsidRPr="00B81D82" w:rsidR="382ED292">
        <w:rPr>
          <w:rFonts w:eastAsia="Times New Roman"/>
          <w:color w:val="000000" w:themeColor="text1"/>
          <w:lang w:eastAsia="fr-FR"/>
        </w:rPr>
        <w:t xml:space="preserve"> de</w:t>
      </w:r>
      <w:r w:rsidRPr="00B81D82" w:rsidR="06DA2950">
        <w:rPr>
          <w:rFonts w:eastAsia="Times New Roman"/>
          <w:color w:val="000000" w:themeColor="text1"/>
          <w:lang w:eastAsia="fr-FR"/>
        </w:rPr>
        <w:t xml:space="preserve"> </w:t>
      </w:r>
      <w:r w:rsidRPr="00B81D82" w:rsidR="382ED292">
        <w:rPr>
          <w:rFonts w:eastAsia="Times New Roman"/>
          <w:color w:val="000000" w:themeColor="text1"/>
          <w:lang w:eastAsia="fr-FR"/>
        </w:rPr>
        <w:t xml:space="preserve">projet d’une </w:t>
      </w:r>
      <w:r w:rsidRPr="00B81D82" w:rsidR="36FCE002">
        <w:rPr>
          <w:rFonts w:eastAsia="Times New Roman"/>
          <w:color w:val="000000" w:themeColor="text1"/>
          <w:lang w:eastAsia="fr-FR"/>
        </w:rPr>
        <w:t xml:space="preserve">innovation </w:t>
      </w:r>
      <w:r w:rsidRPr="00B81D82" w:rsidR="00107E93">
        <w:rPr>
          <w:rFonts w:eastAsia="Times New Roman"/>
          <w:color w:val="000000" w:themeColor="text1"/>
          <w:lang w:eastAsia="fr-FR"/>
        </w:rPr>
        <w:t>(étudiants</w:t>
      </w:r>
      <w:r w:rsidRPr="00B81D82" w:rsidR="04D72A13">
        <w:rPr>
          <w:rFonts w:eastAsia="Times New Roman"/>
          <w:color w:val="000000" w:themeColor="text1"/>
          <w:lang w:eastAsia="fr-FR"/>
        </w:rPr>
        <w:t xml:space="preserve">, </w:t>
      </w:r>
      <w:r w:rsidRPr="00B81D82" w:rsidR="0071AF36">
        <w:rPr>
          <w:rFonts w:eastAsia="Times New Roman"/>
          <w:color w:val="000000" w:themeColor="text1"/>
          <w:lang w:eastAsia="fr-FR"/>
        </w:rPr>
        <w:t xml:space="preserve">chercheurs, </w:t>
      </w:r>
      <w:r w:rsidRPr="00B81D82" w:rsidR="04D72A13">
        <w:rPr>
          <w:rFonts w:eastAsia="Times New Roman"/>
          <w:color w:val="000000" w:themeColor="text1"/>
          <w:lang w:eastAsia="fr-FR"/>
        </w:rPr>
        <w:t>entrepreneurs, structures</w:t>
      </w:r>
      <w:r w:rsidRPr="00B81D82" w:rsidR="77BF8231">
        <w:rPr>
          <w:rFonts w:eastAsia="Times New Roman"/>
          <w:color w:val="000000" w:themeColor="text1"/>
          <w:lang w:eastAsia="fr-FR"/>
        </w:rPr>
        <w:t xml:space="preserve"> publiques</w:t>
      </w:r>
      <w:r w:rsidRPr="00B81D82" w:rsidR="45A0C041">
        <w:rPr>
          <w:rFonts w:eastAsia="Times New Roman"/>
          <w:color w:val="000000" w:themeColor="text1"/>
          <w:lang w:eastAsia="fr-FR"/>
        </w:rPr>
        <w:t>,</w:t>
      </w:r>
      <w:r w:rsidRPr="00B81D82" w:rsidR="63F3680F">
        <w:rPr>
          <w:rFonts w:eastAsia="Times New Roman"/>
          <w:color w:val="000000" w:themeColor="text1"/>
          <w:lang w:eastAsia="fr-FR"/>
        </w:rPr>
        <w:t xml:space="preserve"> </w:t>
      </w:r>
      <w:r w:rsidRPr="00B81D82" w:rsidR="00AA3EE1">
        <w:rPr>
          <w:rFonts w:eastAsia="Times New Roman"/>
          <w:color w:val="000000" w:themeColor="text1"/>
          <w:lang w:eastAsia="fr-FR"/>
        </w:rPr>
        <w:t>associ</w:t>
      </w:r>
      <w:r w:rsidRPr="00B81D82" w:rsidR="5BB5702E">
        <w:rPr>
          <w:rFonts w:eastAsia="Times New Roman"/>
          <w:color w:val="000000" w:themeColor="text1"/>
          <w:lang w:eastAsia="fr-FR"/>
        </w:rPr>
        <w:t>at</w:t>
      </w:r>
      <w:r w:rsidRPr="00B81D82" w:rsidR="00AA3EE1">
        <w:rPr>
          <w:rFonts w:eastAsia="Times New Roman"/>
          <w:color w:val="000000" w:themeColor="text1"/>
          <w:lang w:eastAsia="fr-FR"/>
        </w:rPr>
        <w:t>ions</w:t>
      </w:r>
      <w:r w:rsidRPr="00B81D82" w:rsidR="008C79D5">
        <w:rPr>
          <w:rFonts w:eastAsia="Times New Roman"/>
          <w:color w:val="000000" w:themeColor="text1"/>
          <w:lang w:eastAsia="fr-FR"/>
        </w:rPr>
        <w:t>)</w:t>
      </w:r>
      <w:r w:rsidRPr="00B81D82">
        <w:rPr>
          <w:rFonts w:eastAsia="Times New Roman"/>
          <w:color w:val="000000" w:themeColor="text1"/>
          <w:lang w:eastAsia="fr-FR"/>
        </w:rPr>
        <w:t xml:space="preserve"> en lien avec </w:t>
      </w:r>
      <w:r w:rsidRPr="00B81D82" w:rsidR="4B73AFCB">
        <w:rPr>
          <w:rFonts w:eastAsia="Times New Roman"/>
          <w:color w:val="000000" w:themeColor="text1"/>
          <w:lang w:eastAsia="fr-FR"/>
        </w:rPr>
        <w:t xml:space="preserve">le </w:t>
      </w:r>
      <w:r w:rsidRPr="00B81D82" w:rsidR="17E9E0D2">
        <w:rPr>
          <w:rFonts w:eastAsia="Times New Roman"/>
          <w:color w:val="000000" w:themeColor="text1"/>
          <w:lang w:eastAsia="fr-FR"/>
        </w:rPr>
        <w:t>territoire</w:t>
      </w:r>
      <w:r w:rsidRPr="00B81D82" w:rsidR="00F40D07">
        <w:rPr>
          <w:rFonts w:eastAsia="Times New Roman"/>
          <w:color w:val="000000" w:themeColor="text1"/>
          <w:lang w:eastAsia="fr-FR"/>
        </w:rPr>
        <w:t>.</w:t>
      </w:r>
      <w:r w:rsidRPr="00B81D82" w:rsidR="00273101">
        <w:rPr>
          <w:b/>
          <w:bCs/>
          <w:color w:val="000000" w:themeColor="text1"/>
        </w:rPr>
        <w:t xml:space="preserve"> </w:t>
      </w:r>
    </w:p>
    <w:p w:rsidRPr="00B81D82" w:rsidR="00A022A9" w:rsidP="000418A1" w:rsidRDefault="00E33341" w14:paraId="2B89BEEF" w14:textId="22A72F63">
      <w:pPr>
        <w:spacing w:after="120" w:line="259" w:lineRule="auto"/>
        <w:rPr>
          <w:color w:val="000000" w:themeColor="text1"/>
        </w:rPr>
      </w:pPr>
      <w:r w:rsidRPr="00B81D82">
        <w:rPr>
          <w:color w:val="000000" w:themeColor="text1"/>
        </w:rPr>
        <w:t xml:space="preserve">Les projets doivent </w:t>
      </w:r>
      <w:r w:rsidRPr="00B81D82" w:rsidR="00A15862">
        <w:rPr>
          <w:color w:val="000000" w:themeColor="text1"/>
        </w:rPr>
        <w:t>proposer des solutions innovantes représentant un</w:t>
      </w:r>
      <w:r w:rsidRPr="00B81D82">
        <w:rPr>
          <w:color w:val="000000" w:themeColor="text1"/>
        </w:rPr>
        <w:t xml:space="preserve"> potentiel de développement économique, </w:t>
      </w:r>
      <w:r w:rsidRPr="00B81D82" w:rsidR="00A15862">
        <w:rPr>
          <w:color w:val="000000" w:themeColor="text1"/>
        </w:rPr>
        <w:t>et/ou répondre</w:t>
      </w:r>
      <w:r w:rsidRPr="00B81D82">
        <w:rPr>
          <w:color w:val="000000" w:themeColor="text1"/>
        </w:rPr>
        <w:t xml:space="preserve"> à des enjeux et besoins sociétaux</w:t>
      </w:r>
      <w:r w:rsidRPr="00B81D82" w:rsidR="00A15862">
        <w:rPr>
          <w:color w:val="000000" w:themeColor="text1"/>
        </w:rPr>
        <w:t>.</w:t>
      </w:r>
    </w:p>
    <w:p w:rsidRPr="00B81D82" w:rsidR="000418A1" w:rsidP="00844187" w:rsidRDefault="000418A1" w14:paraId="41EBF551" w14:textId="77777777">
      <w:pPr>
        <w:spacing w:after="120"/>
        <w:rPr>
          <w:color w:val="000000" w:themeColor="text1"/>
        </w:rPr>
      </w:pPr>
    </w:p>
    <w:p w:rsidRPr="00B81D82" w:rsidR="00AA3EE1" w:rsidP="00844187" w:rsidRDefault="29ECFAF5" w14:paraId="01CCA6E8" w14:textId="5D954103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 xml:space="preserve">Chaque projet </w:t>
      </w:r>
      <w:r w:rsidRPr="00B81D82" w:rsidR="00607487">
        <w:rPr>
          <w:color w:val="000000" w:themeColor="text1"/>
        </w:rPr>
        <w:t>répondant à l’enjeu du « bien vivre et bien vieillir dans nos villes » doit</w:t>
      </w:r>
      <w:r w:rsidRPr="00B81D82">
        <w:rPr>
          <w:color w:val="000000" w:themeColor="text1"/>
        </w:rPr>
        <w:t xml:space="preserve"> s’inscrire </w:t>
      </w:r>
      <w:r w:rsidRPr="00B81D82" w:rsidR="00607487">
        <w:rPr>
          <w:color w:val="000000" w:themeColor="text1"/>
        </w:rPr>
        <w:t xml:space="preserve">dans </w:t>
      </w:r>
      <w:r w:rsidRPr="00B81D82" w:rsidR="0045324B">
        <w:rPr>
          <w:color w:val="000000" w:themeColor="text1"/>
        </w:rPr>
        <w:t>un des</w:t>
      </w:r>
      <w:r w:rsidRPr="00B81D82">
        <w:rPr>
          <w:color w:val="000000" w:themeColor="text1"/>
        </w:rPr>
        <w:t xml:space="preserve"> </w:t>
      </w:r>
      <w:r w:rsidRPr="00B81D82" w:rsidR="00107E93">
        <w:rPr>
          <w:color w:val="000000" w:themeColor="text1"/>
        </w:rPr>
        <w:t>champs des</w:t>
      </w:r>
      <w:r w:rsidRPr="00B81D82" w:rsidR="00607487">
        <w:rPr>
          <w:color w:val="000000" w:themeColor="text1"/>
        </w:rPr>
        <w:t xml:space="preserve"> politiques publiques </w:t>
      </w:r>
      <w:r w:rsidRPr="00B81D82" w:rsidR="00107E93">
        <w:rPr>
          <w:color w:val="000000" w:themeColor="text1"/>
        </w:rPr>
        <w:t>suivants :</w:t>
      </w:r>
    </w:p>
    <w:p w:rsidRPr="00B81D82" w:rsidR="00AA3EE1" w:rsidP="00D24265" w:rsidRDefault="572F9C34" w14:paraId="24AEACE1" w14:textId="329447A1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 xml:space="preserve">- </w:t>
      </w:r>
      <w:r w:rsidRPr="00B81D82">
        <w:rPr>
          <w:color w:val="000000" w:themeColor="text1"/>
        </w:rPr>
        <w:tab/>
      </w:r>
      <w:r w:rsidRPr="00B81D82" w:rsidR="29ECFAF5">
        <w:rPr>
          <w:color w:val="000000" w:themeColor="text1"/>
        </w:rPr>
        <w:t xml:space="preserve">Aménagement, renouvellement </w:t>
      </w:r>
      <w:r w:rsidRPr="00B81D82" w:rsidR="5DBCC461">
        <w:rPr>
          <w:color w:val="000000" w:themeColor="text1"/>
        </w:rPr>
        <w:t>urbain</w:t>
      </w:r>
      <w:r w:rsidRPr="00B81D82" w:rsidR="00935DCA">
        <w:rPr>
          <w:color w:val="000000" w:themeColor="text1"/>
        </w:rPr>
        <w:t>.</w:t>
      </w:r>
    </w:p>
    <w:p w:rsidRPr="00B81D82" w:rsidR="00AA3EE1" w:rsidP="00D24265" w:rsidRDefault="29ECFAF5" w14:paraId="59898D06" w14:textId="7D8CB3F1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Environnement/climat</w:t>
      </w:r>
      <w:r w:rsidRPr="00B81D82" w:rsidR="221D7C0C">
        <w:rPr>
          <w:color w:val="000000" w:themeColor="text1"/>
        </w:rPr>
        <w:t xml:space="preserve"> (eau, </w:t>
      </w:r>
      <w:r w:rsidRPr="00B81D82" w:rsidR="54796697">
        <w:rPr>
          <w:color w:val="000000" w:themeColor="text1"/>
        </w:rPr>
        <w:t>pollution</w:t>
      </w:r>
      <w:r w:rsidRPr="00B81D82" w:rsidR="221D7C0C">
        <w:rPr>
          <w:color w:val="000000" w:themeColor="text1"/>
        </w:rPr>
        <w:t xml:space="preserve">, énergie, réduction </w:t>
      </w:r>
      <w:r w:rsidRPr="00B81D82" w:rsidR="005B4167">
        <w:rPr>
          <w:color w:val="000000" w:themeColor="text1"/>
        </w:rPr>
        <w:t>gaz à effet de serre</w:t>
      </w:r>
      <w:r w:rsidRPr="00B81D82" w:rsidR="001872DD">
        <w:rPr>
          <w:color w:val="000000" w:themeColor="text1"/>
        </w:rPr>
        <w:t>…</w:t>
      </w:r>
      <w:r w:rsidRPr="00B81D82" w:rsidR="2E71A303">
        <w:rPr>
          <w:color w:val="000000" w:themeColor="text1"/>
        </w:rPr>
        <w:t>)</w:t>
      </w:r>
      <w:r w:rsidRPr="00B81D82" w:rsidR="00935DCA">
        <w:rPr>
          <w:color w:val="000000" w:themeColor="text1"/>
        </w:rPr>
        <w:t>.</w:t>
      </w:r>
    </w:p>
    <w:p w:rsidRPr="00B81D82" w:rsidR="00AA3EE1" w:rsidP="00D24265" w:rsidRDefault="2E71A303" w14:paraId="3967F03E" w14:textId="73D5AEF5">
      <w:pPr>
        <w:tabs>
          <w:tab w:val="left" w:pos="851"/>
        </w:tabs>
        <w:spacing w:after="120"/>
        <w:ind w:left="1418" w:hanging="425"/>
        <w:rPr>
          <w:rFonts w:ascii="Calibri" w:hAnsi="Calibri" w:eastAsia="Calibri" w:cs="Calibri"/>
          <w:color w:val="000000" w:themeColor="text1"/>
        </w:rPr>
      </w:pPr>
      <w:r w:rsidRPr="00B81D82">
        <w:rPr>
          <w:color w:val="000000" w:themeColor="text1"/>
        </w:rPr>
        <w:t xml:space="preserve">- </w:t>
      </w:r>
      <w:r w:rsidRPr="00B81D82">
        <w:rPr>
          <w:color w:val="000000" w:themeColor="text1"/>
        </w:rPr>
        <w:tab/>
      </w:r>
      <w:r w:rsidRPr="00B81D82" w:rsidR="00607487">
        <w:rPr>
          <w:color w:val="000000" w:themeColor="text1"/>
        </w:rPr>
        <w:t>E</w:t>
      </w:r>
      <w:r w:rsidRPr="00B81D82" w:rsidR="4E12D033">
        <w:rPr>
          <w:color w:val="000000" w:themeColor="text1"/>
        </w:rPr>
        <w:t>conomie circulaire</w:t>
      </w:r>
      <w:r w:rsidRPr="00B81D82" w:rsidR="301584CE">
        <w:rPr>
          <w:rFonts w:ascii="Calibri" w:hAnsi="Calibri" w:eastAsia="Calibri" w:cs="Calibri"/>
          <w:color w:val="000000" w:themeColor="text1"/>
        </w:rPr>
        <w:t xml:space="preserve"> </w:t>
      </w:r>
    </w:p>
    <w:p w:rsidRPr="00B81D82" w:rsidR="00AA3EE1" w:rsidP="00D24265" w:rsidRDefault="253808F2" w14:paraId="3C7DB12C" w14:textId="7EEEF239">
      <w:pPr>
        <w:tabs>
          <w:tab w:val="left" w:pos="851"/>
        </w:tabs>
        <w:spacing w:after="120"/>
        <w:ind w:left="1418" w:hanging="425"/>
        <w:rPr>
          <w:rFonts w:ascii="Calibri" w:hAnsi="Calibri" w:eastAsia="Calibri" w:cs="Calibri"/>
          <w:color w:val="000000" w:themeColor="text1"/>
        </w:rPr>
      </w:pPr>
      <w:r w:rsidRPr="00B81D82">
        <w:rPr>
          <w:rFonts w:ascii="Calibri" w:hAnsi="Calibri" w:eastAsia="Calibri" w:cs="Calibri"/>
          <w:color w:val="000000" w:themeColor="text1"/>
        </w:rPr>
        <w:t xml:space="preserve">- </w:t>
      </w:r>
      <w:r w:rsidRPr="00B81D82">
        <w:rPr>
          <w:color w:val="000000" w:themeColor="text1"/>
        </w:rPr>
        <w:tab/>
      </w:r>
      <w:r w:rsidRPr="00B81D82" w:rsidR="00D24265">
        <w:rPr>
          <w:rFonts w:ascii="Calibri" w:hAnsi="Calibri" w:eastAsia="Calibri" w:cs="Calibri"/>
          <w:color w:val="000000" w:themeColor="text1"/>
        </w:rPr>
        <w:t>R</w:t>
      </w:r>
      <w:r w:rsidRPr="00B81D82" w:rsidR="301584CE">
        <w:rPr>
          <w:rFonts w:ascii="Calibri" w:hAnsi="Calibri" w:eastAsia="Calibri" w:cs="Calibri"/>
          <w:color w:val="000000" w:themeColor="text1"/>
        </w:rPr>
        <w:t>éindustrialisation.</w:t>
      </w:r>
    </w:p>
    <w:p w:rsidRPr="00B81D82" w:rsidR="00AA3EE1" w:rsidP="00D24265" w:rsidRDefault="29ECFAF5" w14:paraId="51460061" w14:textId="44E68958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Espace publique</w:t>
      </w:r>
      <w:r w:rsidRPr="00B81D82" w:rsidR="5D0CB52E">
        <w:rPr>
          <w:color w:val="000000" w:themeColor="text1"/>
        </w:rPr>
        <w:t xml:space="preserve"> (voirie, </w:t>
      </w:r>
      <w:r w:rsidRPr="00B81D82" w:rsidR="22984D41">
        <w:rPr>
          <w:rFonts w:ascii="Calibri" w:hAnsi="Calibri" w:eastAsia="Calibri" w:cs="Calibri"/>
          <w:color w:val="000000" w:themeColor="text1"/>
        </w:rPr>
        <w:t>éclairage</w:t>
      </w:r>
      <w:r w:rsidRPr="00B81D82" w:rsidR="5D0CB52E">
        <w:rPr>
          <w:color w:val="000000" w:themeColor="text1"/>
        </w:rPr>
        <w:t xml:space="preserve"> public</w:t>
      </w:r>
      <w:r w:rsidRPr="00B81D82" w:rsidR="6BEEC20B">
        <w:rPr>
          <w:color w:val="000000" w:themeColor="text1"/>
        </w:rPr>
        <w:t>, espaces verts</w:t>
      </w:r>
      <w:r w:rsidRPr="00B81D82" w:rsidR="00E622B0">
        <w:rPr>
          <w:color w:val="000000" w:themeColor="text1"/>
        </w:rPr>
        <w:t>…</w:t>
      </w:r>
      <w:r w:rsidRPr="00B81D82" w:rsidR="5D0CB52E">
        <w:rPr>
          <w:color w:val="000000" w:themeColor="text1"/>
        </w:rPr>
        <w:t>)</w:t>
      </w:r>
      <w:r w:rsidRPr="00B81D82" w:rsidR="00935DCA">
        <w:rPr>
          <w:color w:val="000000" w:themeColor="text1"/>
        </w:rPr>
        <w:t>.</w:t>
      </w:r>
    </w:p>
    <w:p w:rsidRPr="00B81D82" w:rsidR="00AA3EE1" w:rsidP="00D24265" w:rsidRDefault="29ECFAF5" w14:paraId="0C2BF52E" w14:textId="52EFDA73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 w:rsidR="00607487">
        <w:rPr>
          <w:color w:val="000000" w:themeColor="text1"/>
        </w:rPr>
        <w:t>Habitat</w:t>
      </w:r>
      <w:r w:rsidRPr="00B81D82" w:rsidR="00935DCA">
        <w:rPr>
          <w:color w:val="000000" w:themeColor="text1"/>
        </w:rPr>
        <w:t>.</w:t>
      </w:r>
    </w:p>
    <w:p w:rsidRPr="00B81D82" w:rsidR="00AA3EE1" w:rsidP="00D24265" w:rsidRDefault="29ECFAF5" w14:paraId="1F26569D" w14:textId="569C51E1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Autonomie</w:t>
      </w:r>
      <w:r w:rsidRPr="00B81D82" w:rsidR="6B942EF5">
        <w:rPr>
          <w:color w:val="000000" w:themeColor="text1"/>
        </w:rPr>
        <w:t>,</w:t>
      </w:r>
      <w:r w:rsidRPr="00B81D82" w:rsidR="00607487">
        <w:rPr>
          <w:color w:val="000000" w:themeColor="text1"/>
        </w:rPr>
        <w:t xml:space="preserve"> grand âge</w:t>
      </w:r>
      <w:r w:rsidRPr="00B81D82" w:rsidR="00C51B4F">
        <w:rPr>
          <w:color w:val="000000" w:themeColor="text1"/>
        </w:rPr>
        <w:t>,</w:t>
      </w:r>
      <w:r w:rsidRPr="00B81D82" w:rsidR="6B942EF5">
        <w:rPr>
          <w:color w:val="000000" w:themeColor="text1"/>
        </w:rPr>
        <w:t xml:space="preserve"> </w:t>
      </w:r>
      <w:r w:rsidRPr="00B81D82" w:rsidR="002D1BD7">
        <w:rPr>
          <w:color w:val="000000" w:themeColor="text1"/>
        </w:rPr>
        <w:t>h</w:t>
      </w:r>
      <w:r w:rsidRPr="00B81D82" w:rsidR="6B942EF5">
        <w:rPr>
          <w:color w:val="000000" w:themeColor="text1"/>
        </w:rPr>
        <w:t>andicap</w:t>
      </w:r>
      <w:r w:rsidRPr="00B81D82" w:rsidR="00935DCA">
        <w:rPr>
          <w:color w:val="000000" w:themeColor="text1"/>
        </w:rPr>
        <w:t>.</w:t>
      </w:r>
    </w:p>
    <w:p w:rsidRPr="00B81D82" w:rsidR="62AC7BC6" w:rsidP="00D24265" w:rsidRDefault="62AC7BC6" w14:paraId="611D4C74" w14:textId="45FE185A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 xml:space="preserve">- 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Alimentation</w:t>
      </w:r>
      <w:r w:rsidRPr="00B81D82" w:rsidR="00607487">
        <w:rPr>
          <w:color w:val="000000" w:themeColor="text1"/>
        </w:rPr>
        <w:t xml:space="preserve"> durable</w:t>
      </w:r>
      <w:r w:rsidRPr="00B81D82" w:rsidR="00935DCA">
        <w:rPr>
          <w:color w:val="000000" w:themeColor="text1"/>
        </w:rPr>
        <w:t>.</w:t>
      </w:r>
    </w:p>
    <w:p w:rsidRPr="00B81D82" w:rsidR="00AA3EE1" w:rsidP="00D24265" w:rsidRDefault="29ECFAF5" w14:paraId="327BFB11" w14:textId="3FF918F3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Culture, sport</w:t>
      </w:r>
      <w:r w:rsidRPr="00B81D82" w:rsidR="00607487">
        <w:rPr>
          <w:color w:val="000000" w:themeColor="text1"/>
        </w:rPr>
        <w:t xml:space="preserve"> pour tous</w:t>
      </w:r>
      <w:r w:rsidRPr="00B81D82" w:rsidR="00935DCA">
        <w:rPr>
          <w:color w:val="000000" w:themeColor="text1"/>
        </w:rPr>
        <w:t>.</w:t>
      </w:r>
      <w:r w:rsidRPr="00B81D82" w:rsidR="00607487">
        <w:rPr>
          <w:color w:val="000000" w:themeColor="text1"/>
        </w:rPr>
        <w:t xml:space="preserve"> </w:t>
      </w:r>
    </w:p>
    <w:p w:rsidRPr="00B81D82" w:rsidR="00AA3EE1" w:rsidP="00D24265" w:rsidRDefault="29ECFAF5" w14:paraId="7C03880D" w14:textId="523EFD77">
      <w:pPr>
        <w:tabs>
          <w:tab w:val="left" w:pos="851"/>
        </w:tabs>
        <w:spacing w:after="120"/>
        <w:ind w:left="1418" w:hanging="425"/>
        <w:rPr>
          <w:b/>
          <w:bCs/>
          <w:color w:val="000000" w:themeColor="text1"/>
        </w:rPr>
      </w:pPr>
      <w:r w:rsidRPr="00B81D82">
        <w:rPr>
          <w:color w:val="000000" w:themeColor="text1"/>
        </w:rPr>
        <w:t>-</w:t>
      </w:r>
      <w:r w:rsidRPr="00B81D82">
        <w:rPr>
          <w:color w:val="000000" w:themeColor="text1"/>
        </w:rPr>
        <w:tab/>
      </w:r>
      <w:r w:rsidRPr="00B81D82">
        <w:rPr>
          <w:color w:val="000000" w:themeColor="text1"/>
        </w:rPr>
        <w:t>Déplacement</w:t>
      </w:r>
      <w:r w:rsidRPr="00B81D82" w:rsidR="006A7C07">
        <w:rPr>
          <w:color w:val="000000" w:themeColor="text1"/>
        </w:rPr>
        <w:t>s</w:t>
      </w:r>
      <w:r w:rsidRPr="00B81D82">
        <w:rPr>
          <w:color w:val="000000" w:themeColor="text1"/>
        </w:rPr>
        <w:t>, mobilité</w:t>
      </w:r>
      <w:r w:rsidRPr="00B81D82" w:rsidR="006A7C07">
        <w:rPr>
          <w:color w:val="000000" w:themeColor="text1"/>
        </w:rPr>
        <w:t>s</w:t>
      </w:r>
      <w:r w:rsidRPr="00B81D82" w:rsidR="00935DCA">
        <w:rPr>
          <w:color w:val="000000" w:themeColor="text1"/>
        </w:rPr>
        <w:t>.</w:t>
      </w:r>
    </w:p>
    <w:p w:rsidRPr="00B81D82" w:rsidR="00607487" w:rsidP="00D24265" w:rsidRDefault="00607487" w14:paraId="18989A64" w14:textId="2FCF762F">
      <w:pPr>
        <w:tabs>
          <w:tab w:val="left" w:pos="851"/>
        </w:tabs>
        <w:spacing w:after="120"/>
        <w:ind w:left="1418" w:hanging="425"/>
        <w:rPr>
          <w:color w:val="000000" w:themeColor="text1"/>
        </w:rPr>
      </w:pPr>
      <w:r w:rsidRPr="00B81D82">
        <w:rPr>
          <w:color w:val="000000" w:themeColor="text1"/>
        </w:rPr>
        <w:t>-       Citoyenneté</w:t>
      </w:r>
      <w:r w:rsidRPr="00B81D82" w:rsidR="00432997">
        <w:rPr>
          <w:color w:val="000000" w:themeColor="text1"/>
        </w:rPr>
        <w:t>,</w:t>
      </w:r>
      <w:r w:rsidRPr="00B81D82">
        <w:rPr>
          <w:color w:val="000000" w:themeColor="text1"/>
        </w:rPr>
        <w:t xml:space="preserve"> lien social</w:t>
      </w:r>
      <w:r w:rsidRPr="00B81D82" w:rsidR="7EEE83EA">
        <w:rPr>
          <w:color w:val="000000" w:themeColor="text1"/>
        </w:rPr>
        <w:t>.</w:t>
      </w:r>
    </w:p>
    <w:p w:rsidRPr="00B81D82" w:rsidR="00D437B9" w:rsidP="00D24265" w:rsidRDefault="00D437B9" w14:paraId="39CCB78F" w14:textId="0802BED6">
      <w:pPr>
        <w:spacing w:before="240" w:after="120"/>
        <w:rPr>
          <w:rFonts w:cstheme="minorHAnsi"/>
          <w:b/>
          <w:bCs/>
          <w:color w:val="000000" w:themeColor="text1"/>
        </w:rPr>
      </w:pPr>
      <w:r w:rsidRPr="00B81D82">
        <w:rPr>
          <w:rFonts w:cstheme="minorHAnsi"/>
          <w:b/>
          <w:bCs/>
          <w:color w:val="000000" w:themeColor="text1"/>
        </w:rPr>
        <w:t xml:space="preserve">ARTICLE </w:t>
      </w:r>
      <w:r w:rsidRPr="00B81D82" w:rsidR="00900A04">
        <w:rPr>
          <w:rFonts w:cstheme="minorHAnsi"/>
          <w:b/>
          <w:bCs/>
          <w:color w:val="000000" w:themeColor="text1"/>
        </w:rPr>
        <w:t>2</w:t>
      </w:r>
      <w:r w:rsidRPr="00B81D82">
        <w:rPr>
          <w:rFonts w:cstheme="minorHAnsi"/>
          <w:b/>
          <w:bCs/>
          <w:color w:val="000000" w:themeColor="text1"/>
        </w:rPr>
        <w:t xml:space="preserve"> – CANDIDATURE ET CRITERES D’ELIGIBILITE</w:t>
      </w:r>
    </w:p>
    <w:p w:rsidRPr="00B81D82" w:rsidR="00D437B9" w:rsidP="000418A1" w:rsidRDefault="00380709" w14:paraId="1E55FEE7" w14:textId="618A9091">
      <w:pPr>
        <w:spacing w:before="120" w:after="120"/>
        <w:rPr>
          <w:b/>
          <w:bCs/>
          <w:color w:val="000000" w:themeColor="text1"/>
        </w:rPr>
      </w:pPr>
      <w:r w:rsidRPr="00B81D82">
        <w:rPr>
          <w:b/>
          <w:bCs/>
          <w:color w:val="000000" w:themeColor="text1"/>
        </w:rPr>
        <w:t xml:space="preserve">2-1 </w:t>
      </w:r>
      <w:r w:rsidRPr="00B81D82" w:rsidR="00225B19">
        <w:rPr>
          <w:b/>
          <w:bCs/>
          <w:color w:val="000000" w:themeColor="text1"/>
        </w:rPr>
        <w:t>Porteurs</w:t>
      </w:r>
      <w:r w:rsidRPr="00B81D82" w:rsidR="2FECCCDD">
        <w:rPr>
          <w:b/>
          <w:bCs/>
          <w:color w:val="000000" w:themeColor="text1"/>
        </w:rPr>
        <w:t xml:space="preserve"> </w:t>
      </w:r>
      <w:r w:rsidRPr="00B81D82" w:rsidR="00D437B9">
        <w:rPr>
          <w:b/>
          <w:bCs/>
          <w:color w:val="000000" w:themeColor="text1"/>
        </w:rPr>
        <w:t>éligibles</w:t>
      </w:r>
    </w:p>
    <w:p w:rsidRPr="00B81D82" w:rsidR="00225B19" w:rsidP="51620C0B" w:rsidRDefault="00225B19" w14:paraId="16FBE03A" w14:textId="125FAC33">
      <w:pPr>
        <w:spacing w:after="120"/>
        <w:rPr>
          <w:rFonts w:eastAsia="Times New Roman"/>
          <w:color w:val="000000" w:themeColor="text1"/>
          <w:lang w:eastAsia="fr-FR"/>
        </w:rPr>
      </w:pPr>
      <w:r w:rsidRPr="00B81D82">
        <w:rPr>
          <w:color w:val="000000" w:themeColor="text1"/>
        </w:rPr>
        <w:t xml:space="preserve">Tout.e </w:t>
      </w:r>
      <w:r w:rsidRPr="00B81D82" w:rsidR="0E095C84">
        <w:rPr>
          <w:color w:val="000000" w:themeColor="text1"/>
        </w:rPr>
        <w:t>Start</w:t>
      </w:r>
      <w:r w:rsidRPr="00B81D82" w:rsidR="003F3CA9">
        <w:rPr>
          <w:color w:val="000000" w:themeColor="text1"/>
        </w:rPr>
        <w:t>-</w:t>
      </w:r>
      <w:r w:rsidRPr="00B81D82" w:rsidR="0E095C84">
        <w:rPr>
          <w:color w:val="000000" w:themeColor="text1"/>
        </w:rPr>
        <w:t xml:space="preserve">up, TPE, </w:t>
      </w:r>
      <w:r w:rsidRPr="00B81D82" w:rsidR="00D437B9">
        <w:rPr>
          <w:color w:val="000000" w:themeColor="text1"/>
        </w:rPr>
        <w:t xml:space="preserve">PME, </w:t>
      </w:r>
      <w:r w:rsidRPr="00B81D82" w:rsidR="54A266B2">
        <w:rPr>
          <w:color w:val="000000" w:themeColor="text1"/>
        </w:rPr>
        <w:t xml:space="preserve">junior entreprise, </w:t>
      </w:r>
      <w:r w:rsidRPr="00B81D82" w:rsidR="19512344">
        <w:rPr>
          <w:color w:val="000000" w:themeColor="text1"/>
        </w:rPr>
        <w:t>établissement supérieur</w:t>
      </w:r>
      <w:r w:rsidRPr="00B81D82" w:rsidR="4FDA705A">
        <w:rPr>
          <w:color w:val="000000" w:themeColor="text1"/>
        </w:rPr>
        <w:t xml:space="preserve"> et</w:t>
      </w:r>
      <w:r w:rsidRPr="00B81D82" w:rsidR="19512344">
        <w:rPr>
          <w:color w:val="000000" w:themeColor="text1"/>
        </w:rPr>
        <w:t xml:space="preserve"> de recherche (étudiants, chercheurs) </w:t>
      </w:r>
      <w:r w:rsidRPr="00B81D82" w:rsidR="00D437B9">
        <w:rPr>
          <w:color w:val="000000" w:themeColor="text1"/>
        </w:rPr>
        <w:t>association</w:t>
      </w:r>
      <w:r w:rsidRPr="00B81D82" w:rsidR="005B4167">
        <w:rPr>
          <w:color w:val="000000" w:themeColor="text1"/>
        </w:rPr>
        <w:t>s</w:t>
      </w:r>
      <w:r w:rsidRPr="00B81D82" w:rsidR="21EC52E4">
        <w:rPr>
          <w:color w:val="000000" w:themeColor="text1"/>
        </w:rPr>
        <w:t>,</w:t>
      </w:r>
      <w:r w:rsidRPr="00B81D82" w:rsidR="54F437CC">
        <w:rPr>
          <w:color w:val="000000" w:themeColor="text1"/>
        </w:rPr>
        <w:t xml:space="preserve"> </w:t>
      </w:r>
      <w:r w:rsidRPr="00B81D82" w:rsidR="00D437B9">
        <w:rPr>
          <w:color w:val="000000" w:themeColor="text1"/>
        </w:rPr>
        <w:t xml:space="preserve">domiciliés </w:t>
      </w:r>
      <w:r w:rsidRPr="00B81D82" w:rsidR="007C5285">
        <w:rPr>
          <w:rFonts w:eastAsia="Times New Roman"/>
          <w:color w:val="000000" w:themeColor="text1"/>
          <w:lang w:eastAsia="fr-FR"/>
        </w:rPr>
        <w:t>ou affiliés à une structure locale</w:t>
      </w:r>
      <w:r w:rsidRPr="00B81D82" w:rsidR="007C5285">
        <w:rPr>
          <w:color w:val="000000" w:themeColor="text1"/>
        </w:rPr>
        <w:t xml:space="preserve"> situées </w:t>
      </w:r>
      <w:r w:rsidRPr="00B81D82" w:rsidR="00D437B9">
        <w:rPr>
          <w:color w:val="000000" w:themeColor="text1"/>
        </w:rPr>
        <w:t xml:space="preserve">dans le </w:t>
      </w:r>
      <w:r w:rsidRPr="00B81D82" w:rsidR="00935DCA">
        <w:rPr>
          <w:color w:val="000000" w:themeColor="text1"/>
        </w:rPr>
        <w:t xml:space="preserve">territoire </w:t>
      </w:r>
      <w:r w:rsidRPr="00B81D82" w:rsidR="007C5285">
        <w:rPr>
          <w:rFonts w:eastAsia="Times New Roman"/>
          <w:color w:val="000000" w:themeColor="text1"/>
          <w:lang w:eastAsia="fr-FR"/>
        </w:rPr>
        <w:t>du Grand-Orly Seine Bièvre</w:t>
      </w:r>
      <w:r w:rsidRPr="00B81D82" w:rsidR="007C5285">
        <w:rPr>
          <w:color w:val="000000" w:themeColor="text1"/>
        </w:rPr>
        <w:t xml:space="preserve"> </w:t>
      </w:r>
      <w:r w:rsidRPr="00B81D82" w:rsidR="00935DCA">
        <w:rPr>
          <w:color w:val="000000" w:themeColor="text1"/>
        </w:rPr>
        <w:t>peut</w:t>
      </w:r>
      <w:r w:rsidRPr="00B81D82" w:rsidR="00D437B9">
        <w:rPr>
          <w:color w:val="000000" w:themeColor="text1"/>
        </w:rPr>
        <w:t xml:space="preserve"> candidater à la « Bourse </w:t>
      </w:r>
      <w:r w:rsidRPr="00B81D82">
        <w:rPr>
          <w:color w:val="000000" w:themeColor="text1"/>
        </w:rPr>
        <w:t>territoriale de l’</w:t>
      </w:r>
      <w:r w:rsidRPr="00B81D82" w:rsidR="00D437B9">
        <w:rPr>
          <w:color w:val="000000" w:themeColor="text1"/>
        </w:rPr>
        <w:t>innovation </w:t>
      </w:r>
      <w:r w:rsidRPr="00B81D82" w:rsidR="005B4167">
        <w:rPr>
          <w:color w:val="000000" w:themeColor="text1"/>
        </w:rPr>
        <w:t>»</w:t>
      </w:r>
      <w:r w:rsidRPr="00B81D82" w:rsidR="005B4167">
        <w:rPr>
          <w:rFonts w:eastAsia="Times New Roman"/>
          <w:color w:val="000000" w:themeColor="text1"/>
          <w:lang w:eastAsia="fr-FR"/>
        </w:rPr>
        <w:t>.</w:t>
      </w:r>
    </w:p>
    <w:p w:rsidRPr="00B81D82" w:rsidR="00380709" w:rsidP="13AA9160" w:rsidRDefault="50779824" w14:paraId="669A14EA" w14:textId="0F48A99E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Les lauréats ayant obtenu une dotation financière en 2024 de la Bourse territoriale d’innovation ne peuvent candidater à l’édition 2025 de la Bourse.</w:t>
      </w:r>
    </w:p>
    <w:p w:rsidRPr="00B81D82" w:rsidR="00380709" w:rsidP="000418A1" w:rsidRDefault="00380709" w14:paraId="5B4057B0" w14:textId="402251C5">
      <w:pPr>
        <w:spacing w:before="120" w:after="120"/>
        <w:rPr>
          <w:b/>
          <w:bCs/>
          <w:color w:val="000000" w:themeColor="text1"/>
        </w:rPr>
      </w:pPr>
      <w:r w:rsidRPr="00B81D82">
        <w:rPr>
          <w:b/>
          <w:bCs/>
          <w:color w:val="000000" w:themeColor="text1"/>
        </w:rPr>
        <w:t xml:space="preserve">2.2 - </w:t>
      </w:r>
      <w:r w:rsidRPr="00B81D82" w:rsidR="00BE36A0">
        <w:rPr>
          <w:b/>
          <w:bCs/>
          <w:color w:val="000000" w:themeColor="text1"/>
        </w:rPr>
        <w:t>C</w:t>
      </w:r>
      <w:r w:rsidRPr="00B81D82">
        <w:rPr>
          <w:b/>
          <w:bCs/>
          <w:color w:val="000000" w:themeColor="text1"/>
        </w:rPr>
        <w:t xml:space="preserve">ontenu des projets </w:t>
      </w:r>
    </w:p>
    <w:p w:rsidRPr="00B81D82" w:rsidR="00380709" w:rsidP="00844187" w:rsidRDefault="00225B19" w14:paraId="4E70E76F" w14:textId="4D66799E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Tout p</w:t>
      </w:r>
      <w:r w:rsidRPr="00B81D82" w:rsidR="00380709">
        <w:rPr>
          <w:color w:val="000000" w:themeColor="text1"/>
        </w:rPr>
        <w:t>rojet innovant s’inscrivant dans le thème du concours tel que défini à l’article 1</w:t>
      </w:r>
      <w:r w:rsidRPr="00B81D82" w:rsidR="00314C50">
        <w:rPr>
          <w:color w:val="000000" w:themeColor="text1"/>
        </w:rPr>
        <w:t>.</w:t>
      </w:r>
    </w:p>
    <w:p w:rsidRPr="00B81D82" w:rsidR="00935DCA" w:rsidP="00844187" w:rsidRDefault="00380709" w14:paraId="17423C73" w14:textId="77777777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 xml:space="preserve">Ces projets pourront aller </w:t>
      </w:r>
      <w:r w:rsidRPr="00B81D82" w:rsidR="00935DCA">
        <w:rPr>
          <w:color w:val="000000" w:themeColor="text1"/>
        </w:rPr>
        <w:t>du concept ou l’idée finalisée</w:t>
      </w:r>
      <w:r w:rsidRPr="00B81D82" w:rsidR="008117E7">
        <w:rPr>
          <w:color w:val="000000" w:themeColor="text1"/>
        </w:rPr>
        <w:t xml:space="preserve"> </w:t>
      </w:r>
      <w:r w:rsidRPr="00B81D82">
        <w:rPr>
          <w:color w:val="000000" w:themeColor="text1"/>
        </w:rPr>
        <w:t xml:space="preserve">au </w:t>
      </w:r>
      <w:r w:rsidRPr="00B81D82" w:rsidR="00935DCA">
        <w:rPr>
          <w:color w:val="000000" w:themeColor="text1"/>
        </w:rPr>
        <w:t xml:space="preserve">prototype ou à une première expérimentation </w:t>
      </w:r>
      <w:r w:rsidRPr="00B81D82">
        <w:rPr>
          <w:color w:val="000000" w:themeColor="text1"/>
        </w:rPr>
        <w:t xml:space="preserve">ou </w:t>
      </w:r>
      <w:r w:rsidRPr="00B81D82" w:rsidR="61F2DE2B">
        <w:rPr>
          <w:color w:val="000000" w:themeColor="text1"/>
        </w:rPr>
        <w:t xml:space="preserve">à la </w:t>
      </w:r>
      <w:r w:rsidRPr="00B81D82">
        <w:rPr>
          <w:color w:val="000000" w:themeColor="text1"/>
        </w:rPr>
        <w:t>solution existante</w:t>
      </w:r>
      <w:r w:rsidRPr="00B81D82" w:rsidR="4F314DB6">
        <w:rPr>
          <w:color w:val="000000" w:themeColor="text1"/>
        </w:rPr>
        <w:t xml:space="preserve"> ou</w:t>
      </w:r>
      <w:r w:rsidRPr="00B81D82" w:rsidR="3D53869A">
        <w:rPr>
          <w:color w:val="000000" w:themeColor="text1"/>
        </w:rPr>
        <w:t xml:space="preserve"> commercialisée</w:t>
      </w:r>
      <w:r w:rsidRPr="00B81D82" w:rsidR="00FC311E">
        <w:rPr>
          <w:color w:val="000000" w:themeColor="text1"/>
        </w:rPr>
        <w:t>.</w:t>
      </w:r>
      <w:r w:rsidRPr="00B81D82" w:rsidR="198E79FE">
        <w:rPr>
          <w:color w:val="000000" w:themeColor="text1"/>
        </w:rPr>
        <w:t xml:space="preserve"> </w:t>
      </w:r>
    </w:p>
    <w:p w:rsidRPr="00B81D82" w:rsidR="007C5285" w:rsidP="00844187" w:rsidRDefault="198E79FE" w14:paraId="2EE3D411" w14:textId="03CC38E9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La solution proposée peut être de nature marchande ou non</w:t>
      </w:r>
      <w:r w:rsidRPr="00B81D82" w:rsidR="00935DCA">
        <w:rPr>
          <w:color w:val="000000" w:themeColor="text1"/>
        </w:rPr>
        <w:t xml:space="preserve"> marchande</w:t>
      </w:r>
      <w:r w:rsidRPr="00B81D82">
        <w:rPr>
          <w:color w:val="000000" w:themeColor="text1"/>
        </w:rPr>
        <w:t>.</w:t>
      </w:r>
    </w:p>
    <w:p w:rsidRPr="00B81D82" w:rsidR="00575EEC" w:rsidP="13AA9160" w:rsidRDefault="00900A04" w14:paraId="7361B9F3" w14:textId="37791AA5">
      <w:pPr>
        <w:spacing w:before="240" w:after="120"/>
        <w:rPr>
          <w:rStyle w:val="fontstyle01"/>
          <w:rFonts w:asciiTheme="minorHAnsi" w:hAnsiTheme="minorHAnsi"/>
          <w:caps/>
          <w:color w:val="000000" w:themeColor="text1"/>
        </w:rPr>
      </w:pPr>
      <w:r w:rsidRPr="00B81D82">
        <w:rPr>
          <w:rStyle w:val="fontstyle01"/>
          <w:rFonts w:asciiTheme="minorHAnsi" w:hAnsiTheme="minorHAnsi"/>
          <w:caps/>
          <w:color w:val="000000" w:themeColor="text1"/>
        </w:rPr>
        <w:t xml:space="preserve">Article 3 </w:t>
      </w:r>
      <w:r w:rsidRPr="00B81D82" w:rsidR="00AF73B7">
        <w:rPr>
          <w:rStyle w:val="fontstyle01"/>
          <w:rFonts w:asciiTheme="minorHAnsi" w:hAnsiTheme="minorHAnsi"/>
          <w:caps/>
          <w:color w:val="000000" w:themeColor="text1"/>
        </w:rPr>
        <w:t xml:space="preserve">- </w:t>
      </w:r>
      <w:r w:rsidRPr="00B81D82">
        <w:rPr>
          <w:rStyle w:val="fontstyle01"/>
          <w:rFonts w:asciiTheme="minorHAnsi" w:hAnsiTheme="minorHAnsi"/>
          <w:caps/>
          <w:color w:val="000000" w:themeColor="text1"/>
        </w:rPr>
        <w:t>Inscription, dépôt des projets</w:t>
      </w:r>
    </w:p>
    <w:p w:rsidRPr="00B81D82" w:rsidR="005B4167" w:rsidP="00381A9B" w:rsidRDefault="00900A04" w14:paraId="30952C65" w14:textId="0EC3B1ED">
      <w:pPr>
        <w:spacing w:after="120"/>
        <w:rPr>
          <w:rFonts w:eastAsia="Times New Roman"/>
          <w:color w:val="000000" w:themeColor="text1"/>
          <w:lang w:eastAsia="fr-FR"/>
        </w:rPr>
      </w:pPr>
      <w:r w:rsidRPr="00B81D82">
        <w:rPr>
          <w:rFonts w:eastAsia="Times New Roman"/>
          <w:b/>
          <w:bCs/>
          <w:color w:val="000000" w:themeColor="text1"/>
          <w:lang w:eastAsia="fr-FR"/>
        </w:rPr>
        <w:t>L'inscription au concours</w:t>
      </w:r>
      <w:r w:rsidRPr="00B81D82" w:rsidR="00B81D82">
        <w:rPr>
          <w:rFonts w:eastAsia="Times New Roman"/>
          <w:b/>
          <w:bCs/>
          <w:color w:val="000000" w:themeColor="text1"/>
          <w:lang w:eastAsia="fr-FR"/>
        </w:rPr>
        <w:t xml:space="preserve"> :</w:t>
      </w:r>
      <w:r w:rsidRPr="00B81D82" w:rsidR="00B81D82">
        <w:rPr>
          <w:rFonts w:eastAsia="Times New Roman"/>
          <w:color w:val="000000" w:themeColor="text1"/>
          <w:lang w:eastAsia="fr-FR"/>
        </w:rPr>
        <w:t xml:space="preserve"> L’inscription</w:t>
      </w:r>
      <w:r w:rsidRPr="00B81D82">
        <w:rPr>
          <w:rFonts w:eastAsia="Times New Roman"/>
          <w:color w:val="000000" w:themeColor="text1"/>
          <w:lang w:eastAsia="fr-FR"/>
        </w:rPr>
        <w:t xml:space="preserve"> est obligatoire pour participer au </w:t>
      </w:r>
      <w:r w:rsidRPr="00B81D82" w:rsidR="005B4167">
        <w:rPr>
          <w:rFonts w:eastAsia="Times New Roman"/>
          <w:color w:val="000000" w:themeColor="text1"/>
          <w:lang w:eastAsia="fr-FR"/>
        </w:rPr>
        <w:t xml:space="preserve">concours. L’ensemble des informations relatives au concours est disponible sur le site :  </w:t>
      </w:r>
      <w:hyperlink w:history="1" r:id="rId12">
        <w:r w:rsidRPr="00B81D82" w:rsidR="008A744B">
          <w:rPr>
            <w:rStyle w:val="Lienhypertexte"/>
            <w:rFonts w:ascii="Calibri" w:hAnsi="Calibri" w:cs="Calibri"/>
            <w:color w:val="000000" w:themeColor="text1"/>
            <w:bdr w:val="none" w:color="auto" w:sz="0" w:space="0" w:frame="1"/>
            <w:shd w:val="clear" w:color="auto" w:fill="FFFFFF"/>
          </w:rPr>
          <w:t>https://www.grandorlyseinebievre.fr/bourse-innovation</w:t>
        </w:r>
      </w:hyperlink>
    </w:p>
    <w:p w:rsidRPr="00B81D82" w:rsidR="00900A04" w:rsidP="00381A9B" w:rsidRDefault="00900A04" w14:paraId="32C5CBDB" w14:textId="4D63A1F2">
      <w:pPr>
        <w:spacing w:after="120"/>
        <w:rPr>
          <w:rFonts w:eastAsia="Times New Roman"/>
          <w:b/>
          <w:bCs/>
          <w:color w:val="000000" w:themeColor="text1"/>
          <w:lang w:eastAsia="fr-FR"/>
        </w:rPr>
      </w:pPr>
      <w:r w:rsidRPr="00B81D82">
        <w:rPr>
          <w:rFonts w:eastAsia="Times New Roman"/>
          <w:b/>
          <w:bCs/>
          <w:color w:val="000000" w:themeColor="text1"/>
          <w:lang w:eastAsia="fr-FR"/>
        </w:rPr>
        <w:t xml:space="preserve">Afin de participer au concours, les candidats devront : </w:t>
      </w:r>
    </w:p>
    <w:p w:rsidRPr="00B81D82" w:rsidR="00900A04" w:rsidP="00381A9B" w:rsidRDefault="00900A04" w14:paraId="7E11619D" w14:textId="2EE93235">
      <w:pPr>
        <w:spacing w:after="120"/>
        <w:rPr>
          <w:rFonts w:eastAsia="Times New Roman"/>
          <w:color w:val="000000" w:themeColor="text1"/>
          <w:highlight w:val="yellow"/>
          <w:lang w:eastAsia="fr-FR"/>
        </w:rPr>
      </w:pPr>
      <w:r w:rsidRPr="00B81D82" w:rsidR="00900A04">
        <w:rPr>
          <w:rFonts w:eastAsia="Times New Roman"/>
          <w:color w:val="000000" w:themeColor="text1"/>
          <w:lang w:eastAsia="fr-FR"/>
        </w:rPr>
        <w:t xml:space="preserve">1 – </w:t>
      </w:r>
      <w:r w:rsidRPr="00B81D82" w:rsidR="00134C03">
        <w:rPr>
          <w:rFonts w:eastAsia="Times New Roman"/>
          <w:color w:val="000000" w:themeColor="text1"/>
          <w:lang w:eastAsia="fr-FR"/>
        </w:rPr>
        <w:t>Retirer le</w:t>
      </w:r>
      <w:r w:rsidRPr="00B81D82" w:rsidR="00900A04">
        <w:rPr>
          <w:rFonts w:eastAsia="Times New Roman"/>
          <w:color w:val="000000" w:themeColor="text1"/>
          <w:lang w:eastAsia="fr-FR"/>
        </w:rPr>
        <w:t xml:space="preserve"> dossier</w:t>
      </w:r>
      <w:r w:rsidRPr="00B81D82" w:rsidR="002E5B9F">
        <w:rPr>
          <w:rFonts w:eastAsia="Times New Roman"/>
          <w:color w:val="000000" w:themeColor="text1"/>
          <w:lang w:eastAsia="fr-FR"/>
        </w:rPr>
        <w:t xml:space="preserve"> </w:t>
      </w:r>
      <w:r w:rsidRPr="00B81D82" w:rsidR="0501B76B">
        <w:rPr>
          <w:rFonts w:eastAsia="Times New Roman"/>
          <w:color w:val="000000" w:themeColor="text1"/>
          <w:lang w:eastAsia="fr-FR"/>
        </w:rPr>
        <w:t xml:space="preserve">en le téléchargeant à partir de la page du concours </w:t>
      </w:r>
      <w:r w:rsidRPr="00B81D82" w:rsidR="007C5285">
        <w:rPr>
          <w:rFonts w:eastAsia="Times New Roman"/>
          <w:b w:val="1"/>
          <w:bCs w:val="1"/>
          <w:color w:val="000000" w:themeColor="text1"/>
          <w:lang w:eastAsia="fr-FR"/>
        </w:rPr>
        <w:t xml:space="preserve">entre le 10 décembre 2024 et le 10 mars </w:t>
      </w:r>
      <w:r w:rsidRPr="00B81D82" w:rsidR="007C5285">
        <w:rPr>
          <w:rFonts w:eastAsia="Times New Roman"/>
          <w:b w:val="1"/>
          <w:bCs w:val="1"/>
          <w:color w:val="000000" w:themeColor="text1"/>
          <w:lang w:eastAsia="fr-FR"/>
        </w:rPr>
        <w:t>2025 </w:t>
      </w:r>
      <w:r w:rsidRPr="00B81D82" w:rsidR="0501B76B">
        <w:rPr>
          <w:rFonts w:eastAsia="Times New Roman"/>
          <w:color w:val="000000" w:themeColor="text1"/>
          <w:lang w:eastAsia="fr-FR"/>
        </w:rPr>
        <w:t xml:space="preserve">:</w:t>
      </w:r>
      <w:r w:rsidRPr="00B81D82" w:rsidR="0501B76B">
        <w:rPr>
          <w:rFonts w:eastAsia="Times New Roman"/>
          <w:color w:val="000000" w:themeColor="text1"/>
          <w:lang w:eastAsia="fr-FR"/>
        </w:rPr>
        <w:t xml:space="preserve"> à l’adresse suivante : </w:t>
      </w:r>
      <w:hyperlink w:history="1" r:id="Rc1d92279482742da">
        <w:r w:rsidRPr="00B81D82" w:rsidR="008A744B">
          <w:rPr>
            <w:rStyle w:val="Lienhypertexte"/>
            <w:rFonts w:ascii="Calibri" w:hAnsi="Calibri" w:cs="Calibri"/>
            <w:color w:val="000000" w:themeColor="text1"/>
            <w:bdr w:val="none" w:color="auto" w:sz="0" w:space="0" w:frame="1"/>
            <w:shd w:val="clear" w:color="auto" w:fill="FFFFFF"/>
          </w:rPr>
          <w:t>https://www.grandorlyseinebievre.fr/bourse-innovation</w:t>
        </w:r>
      </w:hyperlink>
    </w:p>
    <w:p w:rsidRPr="00B81D82" w:rsidR="00900A04" w:rsidP="00381A9B" w:rsidRDefault="2974DCAD" w14:paraId="4C489297" w14:textId="0849679B">
      <w:pPr>
        <w:spacing w:after="120"/>
        <w:rPr>
          <w:rFonts w:ascii="Calibri" w:hAnsi="Calibri" w:eastAsia="Calibri" w:cs="Calibri"/>
          <w:color w:val="000000" w:themeColor="text1"/>
        </w:rPr>
      </w:pPr>
      <w:r w:rsidRPr="00B81D82">
        <w:rPr>
          <w:rFonts w:eastAsia="Times New Roman"/>
          <w:color w:val="000000" w:themeColor="text1"/>
          <w:lang w:eastAsia="fr-FR"/>
        </w:rPr>
        <w:t>2 - Les candidats</w:t>
      </w:r>
      <w:r w:rsidRPr="00B81D82" w:rsidR="0D32869A">
        <w:rPr>
          <w:rFonts w:eastAsia="Times New Roman"/>
          <w:color w:val="000000" w:themeColor="text1"/>
          <w:lang w:eastAsia="fr-FR"/>
        </w:rPr>
        <w:t xml:space="preserve"> devront c</w:t>
      </w:r>
      <w:r w:rsidRPr="00B81D82" w:rsidR="00900A04">
        <w:rPr>
          <w:rFonts w:eastAsia="Times New Roman"/>
          <w:color w:val="000000" w:themeColor="text1"/>
          <w:lang w:eastAsia="fr-FR"/>
        </w:rPr>
        <w:t xml:space="preserve">ompléter le </w:t>
      </w:r>
      <w:r w:rsidRPr="00B81D82" w:rsidR="2B29DE64">
        <w:rPr>
          <w:rFonts w:eastAsia="Times New Roman"/>
          <w:color w:val="000000" w:themeColor="text1"/>
          <w:lang w:eastAsia="fr-FR"/>
        </w:rPr>
        <w:t>dossier et</w:t>
      </w:r>
      <w:r w:rsidRPr="00B81D82" w:rsidR="00900A04">
        <w:rPr>
          <w:rFonts w:eastAsia="Times New Roman"/>
          <w:color w:val="000000" w:themeColor="text1"/>
          <w:lang w:eastAsia="fr-FR"/>
        </w:rPr>
        <w:t xml:space="preserve"> </w:t>
      </w:r>
      <w:r w:rsidRPr="00B81D82" w:rsidR="1FE217A4">
        <w:rPr>
          <w:rFonts w:eastAsia="Times New Roman"/>
          <w:color w:val="000000" w:themeColor="text1"/>
          <w:lang w:eastAsia="fr-FR"/>
        </w:rPr>
        <w:t xml:space="preserve">l’envoyer par courriel </w:t>
      </w:r>
      <w:r w:rsidRPr="00B81D82" w:rsidR="6DF254CC">
        <w:rPr>
          <w:rFonts w:eastAsia="Times New Roman"/>
          <w:color w:val="000000" w:themeColor="text1"/>
          <w:lang w:eastAsia="fr-FR"/>
        </w:rPr>
        <w:t xml:space="preserve">avant le </w:t>
      </w:r>
      <w:r w:rsidRPr="00B81D82" w:rsidR="129E7EFD">
        <w:rPr>
          <w:rFonts w:eastAsia="Times New Roman"/>
          <w:color w:val="000000" w:themeColor="text1"/>
          <w:lang w:eastAsia="fr-FR"/>
        </w:rPr>
        <w:t>10</w:t>
      </w:r>
      <w:r w:rsidRPr="00B81D82" w:rsidR="6DF254CC">
        <w:rPr>
          <w:rFonts w:eastAsia="Times New Roman"/>
          <w:color w:val="000000" w:themeColor="text1"/>
          <w:lang w:eastAsia="fr-FR"/>
        </w:rPr>
        <w:t xml:space="preserve"> mars 202</w:t>
      </w:r>
      <w:r w:rsidRPr="00B81D82" w:rsidR="002A3576">
        <w:rPr>
          <w:rFonts w:eastAsia="Times New Roman"/>
          <w:color w:val="000000" w:themeColor="text1"/>
          <w:lang w:eastAsia="fr-FR"/>
        </w:rPr>
        <w:t>5</w:t>
      </w:r>
      <w:r w:rsidRPr="00B81D82" w:rsidR="45729614">
        <w:rPr>
          <w:rFonts w:eastAsia="Times New Roman"/>
          <w:color w:val="000000" w:themeColor="text1"/>
          <w:lang w:eastAsia="fr-FR"/>
        </w:rPr>
        <w:t xml:space="preserve"> à minuit</w:t>
      </w:r>
      <w:r w:rsidRPr="00B81D82" w:rsidR="6DF254CC">
        <w:rPr>
          <w:rFonts w:eastAsia="Times New Roman"/>
          <w:color w:val="000000" w:themeColor="text1"/>
          <w:lang w:eastAsia="fr-FR"/>
        </w:rPr>
        <w:t xml:space="preserve"> </w:t>
      </w:r>
      <w:r w:rsidRPr="00B81D82" w:rsidR="1FE217A4">
        <w:rPr>
          <w:rFonts w:eastAsia="Times New Roman"/>
          <w:color w:val="000000" w:themeColor="text1"/>
          <w:lang w:eastAsia="fr-FR"/>
        </w:rPr>
        <w:t>à l’adresse sui</w:t>
      </w:r>
      <w:r w:rsidRPr="00B81D82" w:rsidR="205799AC">
        <w:rPr>
          <w:rFonts w:eastAsia="Times New Roman"/>
          <w:color w:val="000000" w:themeColor="text1"/>
          <w:lang w:eastAsia="fr-FR"/>
        </w:rPr>
        <w:t xml:space="preserve">vante : </w:t>
      </w:r>
      <w:hyperlink w:history="1" r:id="rId14">
        <w:r w:rsidRPr="00D34E8E" w:rsidR="00775614">
          <w:rPr>
            <w:rStyle w:val="Lienhypertexte"/>
            <w:rFonts w:eastAsia="Aptos" w:asciiTheme="majorHAnsi" w:hAnsiTheme="majorHAnsi" w:cstheme="majorHAnsi"/>
          </w:rPr>
          <w:t>bourseinnovation@grandorlyseinebievre.fr</w:t>
        </w:r>
      </w:hyperlink>
      <w:r w:rsidRPr="00B81D82" w:rsidR="00252505">
        <w:rPr>
          <w:rFonts w:ascii="Aptos" w:hAnsi="Aptos" w:eastAsia="Aptos" w:cs="Aptos"/>
          <w:color w:val="000000" w:themeColor="text1"/>
        </w:rPr>
        <w:t xml:space="preserve"> </w:t>
      </w:r>
      <w:r w:rsidRPr="00B81D82" w:rsidR="70633AD2">
        <w:rPr>
          <w:rFonts w:ascii="Aptos" w:hAnsi="Aptos" w:eastAsia="Aptos" w:cs="Aptos"/>
          <w:color w:val="000000" w:themeColor="text1"/>
        </w:rPr>
        <w:t xml:space="preserve"> </w:t>
      </w:r>
    </w:p>
    <w:p w:rsidRPr="00B81D82" w:rsidR="00900A04" w:rsidP="00381A9B" w:rsidRDefault="00134C03" w14:paraId="2016A84B" w14:textId="347F3C8B">
      <w:pPr>
        <w:spacing w:after="120"/>
        <w:rPr>
          <w:rFonts w:eastAsia="Times New Roman"/>
          <w:color w:val="000000" w:themeColor="text1"/>
          <w:lang w:eastAsia="fr-FR"/>
        </w:rPr>
      </w:pPr>
      <w:r w:rsidRPr="00B81D82">
        <w:rPr>
          <w:rFonts w:eastAsia="Times New Roman"/>
          <w:color w:val="000000" w:themeColor="text1"/>
          <w:lang w:eastAsia="fr-FR"/>
        </w:rPr>
        <w:t>Les étudiants</w:t>
      </w:r>
      <w:r w:rsidRPr="00B81D82" w:rsidR="00900A04">
        <w:rPr>
          <w:rFonts w:eastAsia="Times New Roman"/>
          <w:color w:val="000000" w:themeColor="text1"/>
          <w:lang w:eastAsia="fr-FR"/>
        </w:rPr>
        <w:t xml:space="preserve"> </w:t>
      </w:r>
      <w:r w:rsidRPr="00B81D82" w:rsidR="0FF1AD42">
        <w:rPr>
          <w:rFonts w:eastAsia="Times New Roman"/>
          <w:color w:val="000000" w:themeColor="text1"/>
          <w:lang w:eastAsia="fr-FR"/>
        </w:rPr>
        <w:t xml:space="preserve">ou les chercheurs </w:t>
      </w:r>
      <w:r w:rsidRPr="00B81D82" w:rsidR="00900A04">
        <w:rPr>
          <w:rFonts w:eastAsia="Times New Roman"/>
          <w:color w:val="000000" w:themeColor="text1"/>
          <w:lang w:eastAsia="fr-FR"/>
        </w:rPr>
        <w:t>peuvent concourir seul ou en équipe.</w:t>
      </w:r>
    </w:p>
    <w:p w:rsidRPr="00B81D82" w:rsidR="00107E93" w:rsidP="00381A9B" w:rsidRDefault="00900A04" w14:paraId="26696B0B" w14:textId="128AF714">
      <w:pPr>
        <w:spacing w:after="120"/>
        <w:rPr>
          <w:color w:val="000000" w:themeColor="text1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 xml:space="preserve">Le présent règlement sera consultable en ligne sur la page dédiée sur le site internet </w:t>
      </w:r>
      <w:r w:rsidRPr="00B81D82" w:rsidR="00A507B6">
        <w:rPr>
          <w:rFonts w:eastAsia="Times New Roman" w:cstheme="minorHAnsi"/>
          <w:color w:val="000000" w:themeColor="text1"/>
          <w:lang w:eastAsia="fr-FR"/>
        </w:rPr>
        <w:t>du</w:t>
      </w:r>
      <w:r w:rsidRPr="00B81D82" w:rsidR="00134C03">
        <w:rPr>
          <w:rFonts w:eastAsia="Times New Roman" w:cstheme="minorHAnsi"/>
          <w:color w:val="000000" w:themeColor="text1"/>
          <w:lang w:eastAsia="fr-FR"/>
        </w:rPr>
        <w:t xml:space="preserve"> Grand-Orly</w:t>
      </w:r>
      <w:r w:rsidRPr="00B81D82" w:rsidR="00A507B6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B81D82" w:rsidR="00134C03">
        <w:rPr>
          <w:rFonts w:eastAsia="Times New Roman" w:cstheme="minorHAnsi"/>
          <w:color w:val="000000" w:themeColor="text1"/>
          <w:lang w:eastAsia="fr-FR"/>
        </w:rPr>
        <w:t>Seine</w:t>
      </w:r>
      <w:r w:rsidRPr="00B81D82" w:rsidR="00A507B6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B81D82" w:rsidR="00134C03">
        <w:rPr>
          <w:rFonts w:eastAsia="Times New Roman" w:cstheme="minorHAnsi"/>
          <w:color w:val="000000" w:themeColor="text1"/>
          <w:lang w:eastAsia="fr-FR"/>
        </w:rPr>
        <w:t>Bièvre.</w:t>
      </w:r>
    </w:p>
    <w:p w:rsidRPr="00B81D82" w:rsidR="003675F8" w:rsidP="00D24265" w:rsidRDefault="0554C85A" w14:paraId="63EC5EA9" w14:textId="28A5D28E">
      <w:pPr>
        <w:rPr>
          <w:b/>
          <w:bCs/>
          <w:caps/>
          <w:color w:val="000000" w:themeColor="text1"/>
        </w:rPr>
      </w:pPr>
      <w:r w:rsidRPr="00B81D82">
        <w:rPr>
          <w:color w:val="000000" w:themeColor="text1"/>
        </w:rPr>
        <w:t xml:space="preserve">Le dépôt </w:t>
      </w:r>
      <w:r w:rsidRPr="00B81D82" w:rsidR="00935DCA">
        <w:rPr>
          <w:color w:val="000000" w:themeColor="text1"/>
        </w:rPr>
        <w:t>du dossier</w:t>
      </w:r>
      <w:r w:rsidRPr="00B81D82">
        <w:rPr>
          <w:color w:val="000000" w:themeColor="text1"/>
        </w:rPr>
        <w:t xml:space="preserve"> de candidature vaut acceptation du </w:t>
      </w:r>
      <w:r w:rsidRPr="00B81D82" w:rsidR="00935DCA">
        <w:rPr>
          <w:color w:val="000000" w:themeColor="text1"/>
        </w:rPr>
        <w:t>présent</w:t>
      </w:r>
      <w:r w:rsidRPr="00B81D82">
        <w:rPr>
          <w:color w:val="000000" w:themeColor="text1"/>
        </w:rPr>
        <w:t xml:space="preserve"> règlement par le ou les porteurs de</w:t>
      </w:r>
      <w:r w:rsidRPr="00B81D82" w:rsidR="00134C03">
        <w:rPr>
          <w:color w:val="000000" w:themeColor="text1"/>
        </w:rPr>
        <w:t xml:space="preserve"> </w:t>
      </w:r>
      <w:r w:rsidRPr="00B81D82">
        <w:rPr>
          <w:color w:val="000000" w:themeColor="text1"/>
        </w:rPr>
        <w:t>projet</w:t>
      </w:r>
      <w:r w:rsidRPr="00B81D82" w:rsidR="00935DCA">
        <w:rPr>
          <w:color w:val="000000" w:themeColor="text1"/>
        </w:rPr>
        <w:t>.</w:t>
      </w:r>
      <w:r w:rsidRPr="00B81D82">
        <w:rPr>
          <w:color w:val="000000" w:themeColor="text1"/>
        </w:rPr>
        <w:t xml:space="preserve"> </w:t>
      </w:r>
    </w:p>
    <w:p w:rsidRPr="00B81D82" w:rsidR="00D45A9F" w:rsidP="00D24265" w:rsidRDefault="67280903" w14:paraId="0CFF1425" w14:textId="207281DA">
      <w:pPr>
        <w:spacing w:before="240" w:after="120"/>
        <w:rPr>
          <w:b/>
          <w:bCs/>
          <w:caps/>
          <w:color w:val="000000" w:themeColor="text1"/>
        </w:rPr>
      </w:pPr>
      <w:r w:rsidRPr="00B81D82">
        <w:rPr>
          <w:b/>
          <w:bCs/>
          <w:caps/>
          <w:color w:val="000000" w:themeColor="text1"/>
        </w:rPr>
        <w:t xml:space="preserve">ARTICLE </w:t>
      </w:r>
      <w:r w:rsidRPr="00B81D82" w:rsidR="0085293A">
        <w:rPr>
          <w:b/>
          <w:bCs/>
          <w:caps/>
          <w:color w:val="000000" w:themeColor="text1"/>
        </w:rPr>
        <w:t>4</w:t>
      </w:r>
      <w:r w:rsidRPr="00B81D82">
        <w:rPr>
          <w:b/>
          <w:bCs/>
          <w:caps/>
          <w:color w:val="000000" w:themeColor="text1"/>
        </w:rPr>
        <w:t xml:space="preserve"> </w:t>
      </w:r>
      <w:r w:rsidRPr="00B81D82" w:rsidR="00AF73B7">
        <w:rPr>
          <w:b/>
          <w:bCs/>
          <w:caps/>
          <w:color w:val="000000" w:themeColor="text1"/>
        </w:rPr>
        <w:t xml:space="preserve">- </w:t>
      </w:r>
      <w:r w:rsidRPr="00B81D82">
        <w:rPr>
          <w:b/>
          <w:bCs/>
          <w:caps/>
          <w:color w:val="000000" w:themeColor="text1"/>
        </w:rPr>
        <w:t>Composition du jury</w:t>
      </w:r>
    </w:p>
    <w:p w:rsidRPr="00B81D82" w:rsidR="00AF73B7" w:rsidP="00844187" w:rsidRDefault="0B01C510" w14:paraId="456011AE" w14:textId="4440709F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</w:t>
      </w:r>
      <w:r w:rsidRPr="00B81D82" w:rsidR="67280903">
        <w:rPr>
          <w:color w:val="000000" w:themeColor="text1"/>
        </w:rPr>
        <w:t>e</w:t>
      </w:r>
      <w:r w:rsidRPr="00B81D82" w:rsidR="6D4C742F">
        <w:rPr>
          <w:color w:val="000000" w:themeColor="text1"/>
        </w:rPr>
        <w:t xml:space="preserve"> jury est composé de </w:t>
      </w:r>
      <w:r w:rsidRPr="00B81D82" w:rsidR="00134C03">
        <w:rPr>
          <w:color w:val="000000" w:themeColor="text1"/>
        </w:rPr>
        <w:t>12 membres maximums</w:t>
      </w:r>
      <w:r w:rsidRPr="00B81D82" w:rsidR="09E63ED3">
        <w:rPr>
          <w:color w:val="000000" w:themeColor="text1"/>
        </w:rPr>
        <w:t xml:space="preserve"> </w:t>
      </w:r>
      <w:r w:rsidRPr="00B81D82" w:rsidR="005B4167">
        <w:rPr>
          <w:color w:val="000000" w:themeColor="text1"/>
        </w:rPr>
        <w:t>:</w:t>
      </w:r>
      <w:r w:rsidRPr="00B81D82" w:rsidR="6D4C742F">
        <w:rPr>
          <w:color w:val="000000" w:themeColor="text1"/>
        </w:rPr>
        <w:t xml:space="preserve"> </w:t>
      </w:r>
      <w:r w:rsidRPr="00B81D82" w:rsidR="0085293A">
        <w:rPr>
          <w:color w:val="000000" w:themeColor="text1"/>
        </w:rPr>
        <w:t>représentants</w:t>
      </w:r>
      <w:r w:rsidRPr="00B81D82" w:rsidR="6D4C742F">
        <w:rPr>
          <w:color w:val="000000" w:themeColor="text1"/>
        </w:rPr>
        <w:t xml:space="preserve"> </w:t>
      </w:r>
      <w:r w:rsidRPr="00B81D82" w:rsidR="00DF09EB">
        <w:rPr>
          <w:color w:val="000000" w:themeColor="text1"/>
        </w:rPr>
        <w:t>des établissements</w:t>
      </w:r>
      <w:r w:rsidRPr="00B81D82" w:rsidR="66F40C6F">
        <w:rPr>
          <w:color w:val="000000" w:themeColor="text1"/>
        </w:rPr>
        <w:t xml:space="preserve"> d’enseignement </w:t>
      </w:r>
      <w:r w:rsidRPr="00B81D82" w:rsidR="00D24265">
        <w:rPr>
          <w:color w:val="000000" w:themeColor="text1"/>
        </w:rPr>
        <w:t>supérieur, structures</w:t>
      </w:r>
      <w:r w:rsidRPr="00B81D82" w:rsidR="70BACE0C">
        <w:rPr>
          <w:color w:val="000000" w:themeColor="text1"/>
        </w:rPr>
        <w:t xml:space="preserve"> universitaires, </w:t>
      </w:r>
      <w:r w:rsidRPr="00B81D82" w:rsidR="00A507B6">
        <w:rPr>
          <w:color w:val="000000" w:themeColor="text1"/>
        </w:rPr>
        <w:t xml:space="preserve">du </w:t>
      </w:r>
      <w:r w:rsidRPr="00B81D82" w:rsidR="7B6B96C8">
        <w:rPr>
          <w:color w:val="000000" w:themeColor="text1"/>
        </w:rPr>
        <w:t>Grand</w:t>
      </w:r>
      <w:r w:rsidRPr="00B81D82" w:rsidR="00A507B6">
        <w:rPr>
          <w:color w:val="000000" w:themeColor="text1"/>
        </w:rPr>
        <w:t>-</w:t>
      </w:r>
      <w:r w:rsidRPr="00B81D82" w:rsidR="7B6B96C8">
        <w:rPr>
          <w:color w:val="000000" w:themeColor="text1"/>
        </w:rPr>
        <w:t>Orly Seine Bièvre</w:t>
      </w:r>
      <w:r w:rsidRPr="00B81D82" w:rsidR="00C325EA">
        <w:rPr>
          <w:color w:val="000000" w:themeColor="text1"/>
        </w:rPr>
        <w:t>,</w:t>
      </w:r>
      <w:r w:rsidRPr="00B81D82" w:rsidR="0085293A">
        <w:rPr>
          <w:color w:val="000000" w:themeColor="text1"/>
        </w:rPr>
        <w:t xml:space="preserve"> </w:t>
      </w:r>
      <w:r w:rsidRPr="00B81D82" w:rsidR="00134C03">
        <w:rPr>
          <w:color w:val="000000" w:themeColor="text1"/>
        </w:rPr>
        <w:t xml:space="preserve">des </w:t>
      </w:r>
      <w:r w:rsidRPr="00B81D82" w:rsidR="005B4167">
        <w:rPr>
          <w:color w:val="000000" w:themeColor="text1"/>
        </w:rPr>
        <w:t>partenaires</w:t>
      </w:r>
      <w:r w:rsidRPr="00B81D82" w:rsidR="2F5FB33E">
        <w:rPr>
          <w:color w:val="000000" w:themeColor="text1"/>
        </w:rPr>
        <w:t xml:space="preserve"> (cluster, réseaux</w:t>
      </w:r>
      <w:r w:rsidR="00DF09EB">
        <w:rPr>
          <w:color w:val="000000" w:themeColor="text1"/>
        </w:rPr>
        <w:t> …</w:t>
      </w:r>
      <w:r w:rsidRPr="00B81D82" w:rsidR="2F5FB33E">
        <w:rPr>
          <w:color w:val="000000" w:themeColor="text1"/>
        </w:rPr>
        <w:t>)</w:t>
      </w:r>
      <w:r w:rsidRPr="00B81D82" w:rsidR="00134C03">
        <w:rPr>
          <w:color w:val="000000" w:themeColor="text1"/>
        </w:rPr>
        <w:t>,</w:t>
      </w:r>
      <w:r w:rsidRPr="00B81D82" w:rsidR="2F5FB33E">
        <w:rPr>
          <w:color w:val="000000" w:themeColor="text1"/>
        </w:rPr>
        <w:t xml:space="preserve"> </w:t>
      </w:r>
      <w:r w:rsidRPr="00B81D82" w:rsidR="00134C03">
        <w:rPr>
          <w:color w:val="000000" w:themeColor="text1"/>
        </w:rPr>
        <w:t>des associations, des structures</w:t>
      </w:r>
      <w:r w:rsidRPr="00B81D82" w:rsidR="00DD4890">
        <w:rPr>
          <w:color w:val="000000" w:themeColor="text1"/>
        </w:rPr>
        <w:t xml:space="preserve"> institutionnel</w:t>
      </w:r>
      <w:r w:rsidRPr="00B81D82" w:rsidR="003876A7">
        <w:rPr>
          <w:color w:val="000000" w:themeColor="text1"/>
        </w:rPr>
        <w:t>les</w:t>
      </w:r>
      <w:r w:rsidRPr="00B81D82" w:rsidR="5873B85B">
        <w:rPr>
          <w:color w:val="000000" w:themeColor="text1"/>
        </w:rPr>
        <w:t>, des personnalités qualifié</w:t>
      </w:r>
      <w:r w:rsidRPr="00B81D82" w:rsidR="09EFAC02">
        <w:rPr>
          <w:color w:val="000000" w:themeColor="text1"/>
        </w:rPr>
        <w:t>e</w:t>
      </w:r>
      <w:r w:rsidRPr="00B81D82" w:rsidR="5873B85B">
        <w:rPr>
          <w:color w:val="000000" w:themeColor="text1"/>
        </w:rPr>
        <w:t>s</w:t>
      </w:r>
      <w:r w:rsidRPr="00B81D82" w:rsidR="00085BC7">
        <w:rPr>
          <w:color w:val="000000" w:themeColor="text1"/>
        </w:rPr>
        <w:t>.</w:t>
      </w:r>
    </w:p>
    <w:p w:rsidRPr="00B81D82" w:rsidR="00103132" w:rsidP="00844187" w:rsidRDefault="00AF73B7" w14:paraId="6D5C52C8" w14:textId="495A4F6D">
      <w:pPr>
        <w:spacing w:after="120"/>
        <w:rPr>
          <w:color w:val="000000" w:themeColor="text1"/>
        </w:rPr>
      </w:pPr>
      <w:r w:rsidRPr="00B81D82">
        <w:rPr>
          <w:color w:val="000000" w:themeColor="text1"/>
        </w:rPr>
        <w:t>Les décisions du jury sont souveraines.</w:t>
      </w:r>
    </w:p>
    <w:p w:rsidRPr="00B81D82" w:rsidR="00D437B9" w:rsidP="00844187" w:rsidRDefault="00D437B9" w14:paraId="7FC75707" w14:textId="560C7D0B">
      <w:pPr>
        <w:spacing w:before="240" w:after="120"/>
        <w:rPr>
          <w:rFonts w:cstheme="minorHAnsi"/>
          <w:b/>
          <w:bCs/>
          <w:caps/>
          <w:color w:val="000000" w:themeColor="text1"/>
        </w:rPr>
      </w:pPr>
      <w:r w:rsidRPr="00B81D82">
        <w:rPr>
          <w:rFonts w:cstheme="minorHAnsi"/>
          <w:b/>
          <w:bCs/>
          <w:caps/>
          <w:color w:val="000000" w:themeColor="text1"/>
        </w:rPr>
        <w:t xml:space="preserve">Article </w:t>
      </w:r>
      <w:r w:rsidRPr="00B81D82" w:rsidR="00107E93">
        <w:rPr>
          <w:rFonts w:cstheme="minorHAnsi"/>
          <w:b/>
          <w:bCs/>
          <w:caps/>
          <w:color w:val="000000" w:themeColor="text1"/>
        </w:rPr>
        <w:t>5</w:t>
      </w:r>
      <w:r w:rsidRPr="00B81D82" w:rsidR="0085293A">
        <w:rPr>
          <w:rFonts w:cstheme="minorHAnsi"/>
          <w:b/>
          <w:bCs/>
          <w:caps/>
          <w:color w:val="000000" w:themeColor="text1"/>
        </w:rPr>
        <w:t xml:space="preserve"> </w:t>
      </w:r>
      <w:r w:rsidRPr="00B81D82">
        <w:rPr>
          <w:rFonts w:cstheme="minorHAnsi"/>
          <w:b/>
          <w:bCs/>
          <w:caps/>
          <w:color w:val="000000" w:themeColor="text1"/>
        </w:rPr>
        <w:t xml:space="preserve">– </w:t>
      </w:r>
      <w:r w:rsidRPr="00B81D82" w:rsidR="0097357B">
        <w:rPr>
          <w:rFonts w:cstheme="minorHAnsi"/>
          <w:b/>
          <w:bCs/>
          <w:caps/>
          <w:color w:val="000000" w:themeColor="text1"/>
        </w:rPr>
        <w:t>sélection des projets</w:t>
      </w:r>
      <w:r w:rsidRPr="00B81D82" w:rsidR="00BB355E">
        <w:rPr>
          <w:rFonts w:cstheme="minorHAnsi"/>
          <w:b/>
          <w:bCs/>
          <w:caps/>
          <w:color w:val="000000" w:themeColor="text1"/>
        </w:rPr>
        <w:t xml:space="preserve"> et prix offerts</w:t>
      </w:r>
    </w:p>
    <w:p w:rsidRPr="00B81D82" w:rsidR="0097357B" w:rsidP="13AA9160" w:rsidRDefault="0097357B" w14:paraId="180BC92D" w14:textId="5770EAC5">
      <w:pPr>
        <w:spacing w:after="120"/>
        <w:rPr>
          <w:rFonts w:eastAsia="Times New Roman"/>
          <w:color w:val="000000" w:themeColor="text1"/>
          <w:lang w:eastAsia="fr-FR"/>
        </w:rPr>
      </w:pPr>
      <w:r w:rsidRPr="7DD5BE45" w:rsidR="0097357B">
        <w:rPr>
          <w:rFonts w:eastAsia="Times New Roman"/>
          <w:color w:val="000000" w:themeColor="text1" w:themeTint="FF" w:themeShade="FF"/>
          <w:lang w:eastAsia="fr-FR"/>
        </w:rPr>
        <w:t xml:space="preserve">La </w:t>
      </w:r>
      <w:r w:rsidRPr="7DD5BE45" w:rsidR="00F95CB3">
        <w:rPr>
          <w:rFonts w:eastAsia="Times New Roman"/>
          <w:color w:val="000000" w:themeColor="text1" w:themeTint="FF" w:themeShade="FF"/>
          <w:lang w:eastAsia="fr-FR"/>
        </w:rPr>
        <w:t xml:space="preserve">validation et sélections techniques des dossiers reçus </w:t>
      </w:r>
      <w:r w:rsidRPr="7DD5BE45" w:rsidR="0097357B">
        <w:rPr>
          <w:rFonts w:eastAsia="Times New Roman"/>
          <w:color w:val="000000" w:themeColor="text1" w:themeTint="FF" w:themeShade="FF"/>
          <w:lang w:eastAsia="fr-FR"/>
        </w:rPr>
        <w:t>se</w:t>
      </w:r>
      <w:r w:rsidRPr="7DD5BE45" w:rsidR="09F646E3">
        <w:rPr>
          <w:rFonts w:eastAsia="Times New Roman"/>
          <w:color w:val="000000" w:themeColor="text1" w:themeTint="FF" w:themeShade="FF"/>
          <w:lang w:eastAsia="fr-FR"/>
        </w:rPr>
        <w:t>ra</w:t>
      </w:r>
      <w:r w:rsidRPr="7DD5BE45" w:rsidR="0097357B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72043D36">
        <w:rPr>
          <w:rFonts w:eastAsia="Times New Roman"/>
          <w:color w:val="000000" w:themeColor="text1" w:themeTint="FF" w:themeShade="FF"/>
          <w:lang w:eastAsia="fr-FR"/>
        </w:rPr>
        <w:t xml:space="preserve">effectuée </w:t>
      </w:r>
      <w:r w:rsidRPr="7DD5BE45" w:rsidR="0097357B">
        <w:rPr>
          <w:rFonts w:eastAsia="Times New Roman"/>
          <w:color w:val="000000" w:themeColor="text1" w:themeTint="FF" w:themeShade="FF"/>
          <w:lang w:eastAsia="fr-FR"/>
        </w:rPr>
        <w:t>à</w:t>
      </w:r>
      <w:r w:rsidRPr="7DD5BE45" w:rsidR="197C25E2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67DB8BF8">
        <w:rPr>
          <w:rFonts w:eastAsia="Times New Roman"/>
          <w:color w:val="000000" w:themeColor="text1" w:themeTint="FF" w:themeShade="FF"/>
          <w:lang w:eastAsia="fr-FR"/>
        </w:rPr>
        <w:t>part</w:t>
      </w:r>
      <w:r w:rsidRPr="7DD5BE45" w:rsidR="323F9AFF">
        <w:rPr>
          <w:rFonts w:eastAsia="Times New Roman"/>
          <w:color w:val="000000" w:themeColor="text1" w:themeTint="FF" w:themeShade="FF"/>
          <w:lang w:eastAsia="fr-FR"/>
        </w:rPr>
        <w:t>i</w:t>
      </w:r>
      <w:r w:rsidRPr="7DD5BE45" w:rsidR="67DB8BF8">
        <w:rPr>
          <w:rFonts w:eastAsia="Times New Roman"/>
          <w:color w:val="000000" w:themeColor="text1" w:themeTint="FF" w:themeShade="FF"/>
          <w:lang w:eastAsia="fr-FR"/>
        </w:rPr>
        <w:t>r de</w:t>
      </w:r>
      <w:r w:rsidRPr="7DD5BE45" w:rsidR="655204FC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67DB8BF8">
        <w:rPr>
          <w:rFonts w:eastAsia="Times New Roman"/>
          <w:color w:val="000000" w:themeColor="text1" w:themeTint="FF" w:themeShade="FF"/>
          <w:lang w:eastAsia="fr-FR"/>
        </w:rPr>
        <w:t xml:space="preserve">la </w:t>
      </w:r>
      <w:r w:rsidRPr="7DD5BE45" w:rsidR="22608A07">
        <w:rPr>
          <w:rFonts w:eastAsia="Times New Roman"/>
          <w:color w:val="000000" w:themeColor="text1" w:themeTint="FF" w:themeShade="FF"/>
          <w:lang w:eastAsia="fr-FR"/>
        </w:rPr>
        <w:t>clôture</w:t>
      </w:r>
      <w:r w:rsidRPr="7DD5BE45" w:rsidR="67DB8BF8">
        <w:rPr>
          <w:rFonts w:eastAsia="Times New Roman"/>
          <w:color w:val="000000" w:themeColor="text1" w:themeTint="FF" w:themeShade="FF"/>
          <w:lang w:eastAsia="fr-FR"/>
        </w:rPr>
        <w:t xml:space="preserve"> des dép</w:t>
      </w:r>
      <w:r w:rsidRPr="7DD5BE45" w:rsidR="254497E3">
        <w:rPr>
          <w:rFonts w:eastAsia="Times New Roman"/>
          <w:color w:val="000000" w:themeColor="text1" w:themeTint="FF" w:themeShade="FF"/>
          <w:lang w:eastAsia="fr-FR"/>
        </w:rPr>
        <w:t>ô</w:t>
      </w:r>
      <w:r w:rsidRPr="7DD5BE45" w:rsidR="2045E8DF">
        <w:rPr>
          <w:rFonts w:eastAsia="Times New Roman"/>
          <w:color w:val="000000" w:themeColor="text1" w:themeTint="FF" w:themeShade="FF"/>
          <w:lang w:eastAsia="fr-FR"/>
        </w:rPr>
        <w:t>t</w:t>
      </w:r>
      <w:r w:rsidRPr="7DD5BE45" w:rsidR="67DB8BF8">
        <w:rPr>
          <w:rFonts w:eastAsia="Times New Roman"/>
          <w:color w:val="000000" w:themeColor="text1" w:themeTint="FF" w:themeShade="FF"/>
          <w:lang w:eastAsia="fr-FR"/>
        </w:rPr>
        <w:t>s</w:t>
      </w:r>
      <w:r w:rsidRPr="7DD5BE45" w:rsidR="31BD67B9">
        <w:rPr>
          <w:rFonts w:eastAsia="Times New Roman"/>
          <w:color w:val="000000" w:themeColor="text1" w:themeTint="FF" w:themeShade="FF"/>
          <w:lang w:eastAsia="fr-FR"/>
        </w:rPr>
        <w:t xml:space="preserve">. 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>Les services du Grand-Orly Seine Bièvre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>examineront</w:t>
      </w:r>
      <w:r w:rsidRPr="7DD5BE45" w:rsidR="55B1A0FF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 xml:space="preserve">l’éligibilité des 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>candidatures et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 xml:space="preserve"> effectueront une première sélection du 11 au 25 mars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 2025</w:t>
      </w:r>
      <w:r w:rsidRPr="7DD5BE45" w:rsidR="007C5285">
        <w:rPr>
          <w:rFonts w:eastAsia="Times New Roman"/>
          <w:color w:val="000000" w:themeColor="text1" w:themeTint="FF" w:themeShade="FF"/>
          <w:lang w:eastAsia="fr-FR"/>
        </w:rPr>
        <w:t>. </w:t>
      </w:r>
    </w:p>
    <w:p w:rsidRPr="00B81D82" w:rsidR="00F95CB3" w:rsidP="00381A9B" w:rsidRDefault="00D45A9F" w14:paraId="0CE708F6" w14:textId="7A595A77">
      <w:pPr>
        <w:spacing w:after="120"/>
        <w:rPr>
          <w:rFonts w:eastAsia="Times New Roman"/>
          <w:color w:val="000000" w:themeColor="text1"/>
          <w:lang w:eastAsia="fr-FR"/>
        </w:rPr>
      </w:pPr>
      <w:r w:rsidRPr="7DD5BE45" w:rsidR="00D45A9F">
        <w:rPr>
          <w:rFonts w:eastAsia="Times New Roman"/>
          <w:color w:val="000000" w:themeColor="text1" w:themeTint="FF" w:themeShade="FF"/>
          <w:lang w:eastAsia="fr-FR"/>
        </w:rPr>
        <w:t>L’ensemble</w:t>
      </w:r>
      <w:r w:rsidRPr="7DD5BE45" w:rsidR="00F95CB3">
        <w:rPr>
          <w:rFonts w:eastAsia="Times New Roman"/>
          <w:color w:val="000000" w:themeColor="text1" w:themeTint="FF" w:themeShade="FF"/>
          <w:lang w:eastAsia="fr-FR"/>
        </w:rPr>
        <w:t xml:space="preserve"> de</w:t>
      </w:r>
      <w:r w:rsidRPr="7DD5BE45" w:rsidR="0DE8C7A1">
        <w:rPr>
          <w:rFonts w:eastAsia="Times New Roman"/>
          <w:color w:val="000000" w:themeColor="text1" w:themeTint="FF" w:themeShade="FF"/>
          <w:lang w:eastAsia="fr-FR"/>
        </w:rPr>
        <w:t>s</w:t>
      </w:r>
      <w:r w:rsidRPr="7DD5BE45" w:rsidR="00F95CB3">
        <w:rPr>
          <w:rFonts w:eastAsia="Times New Roman"/>
          <w:color w:val="000000" w:themeColor="text1" w:themeTint="FF" w:themeShade="FF"/>
          <w:lang w:eastAsia="fr-FR"/>
        </w:rPr>
        <w:t xml:space="preserve"> dossiers</w:t>
      </w:r>
      <w:r w:rsidRPr="7DD5BE45" w:rsidR="00AA3EE1">
        <w:rPr>
          <w:rFonts w:eastAsia="Times New Roman"/>
          <w:color w:val="000000" w:themeColor="text1" w:themeTint="FF" w:themeShade="FF"/>
          <w:lang w:eastAsia="fr-FR"/>
        </w:rPr>
        <w:t xml:space="preserve"> retenus</w:t>
      </w:r>
      <w:r w:rsidRPr="7DD5BE45" w:rsidR="00F95CB3">
        <w:rPr>
          <w:rFonts w:eastAsia="Times New Roman"/>
          <w:color w:val="000000" w:themeColor="text1" w:themeTint="FF" w:themeShade="FF"/>
          <w:lang w:eastAsia="fr-FR"/>
        </w:rPr>
        <w:t xml:space="preserve"> sera transmis </w:t>
      </w:r>
      <w:r w:rsidRPr="7DD5BE45" w:rsidR="5D0679D5">
        <w:rPr>
          <w:rFonts w:eastAsia="Times New Roman"/>
          <w:color w:val="000000" w:themeColor="text1" w:themeTint="FF" w:themeShade="FF"/>
          <w:lang w:eastAsia="fr-FR"/>
        </w:rPr>
        <w:t>aux membres</w:t>
      </w:r>
      <w:r w:rsidRPr="7DD5BE45" w:rsidR="00F95CB3">
        <w:rPr>
          <w:rFonts w:eastAsia="Times New Roman"/>
          <w:color w:val="000000" w:themeColor="text1" w:themeTint="FF" w:themeShade="FF"/>
          <w:lang w:eastAsia="fr-FR"/>
        </w:rPr>
        <w:t xml:space="preserve"> du jury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 qui </w:t>
      </w:r>
      <w:r w:rsidRPr="7DD5BE45" w:rsidR="5731C1B2">
        <w:rPr>
          <w:rFonts w:eastAsia="Times New Roman"/>
          <w:color w:val="000000" w:themeColor="text1" w:themeTint="FF" w:themeShade="FF"/>
          <w:lang w:eastAsia="fr-FR"/>
        </w:rPr>
        <w:t xml:space="preserve">se </w:t>
      </w:r>
      <w:r w:rsidRPr="7DD5BE45" w:rsidR="652C70F2">
        <w:rPr>
          <w:rFonts w:eastAsia="Times New Roman"/>
          <w:color w:val="000000" w:themeColor="text1" w:themeTint="FF" w:themeShade="FF"/>
          <w:lang w:eastAsia="fr-FR"/>
        </w:rPr>
        <w:t xml:space="preserve">réunira 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>dans la semaine du 31 mars</w:t>
      </w:r>
      <w:r w:rsidRPr="7DD5BE45" w:rsidR="1119A3D6">
        <w:rPr>
          <w:rFonts w:eastAsia="Times New Roman"/>
          <w:color w:val="000000" w:themeColor="text1" w:themeTint="FF" w:themeShade="FF"/>
          <w:lang w:eastAsia="fr-FR"/>
        </w:rPr>
        <w:t xml:space="preserve"> 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2025. Le jury désigne les lauréats : </w:t>
      </w:r>
    </w:p>
    <w:p w:rsidRPr="00B81D82" w:rsidR="00381A9B" w:rsidP="00D24265" w:rsidRDefault="00381A9B" w14:paraId="3574D9F7" w14:textId="7035C7E0">
      <w:pPr>
        <w:spacing w:after="120"/>
        <w:ind w:left="567"/>
        <w:rPr>
          <w:rFonts w:eastAsia="Times New Roman"/>
          <w:color w:val="000000" w:themeColor="text1"/>
          <w:lang w:eastAsia="fr-FR"/>
        </w:rPr>
      </w:pPr>
      <w:r w:rsidRPr="00B81D82">
        <w:rPr>
          <w:rFonts w:eastAsia="Times New Roman"/>
          <w:b/>
          <w:bCs/>
          <w:color w:val="000000" w:themeColor="text1"/>
          <w:lang w:eastAsia="fr-FR"/>
        </w:rPr>
        <w:t>Prix du jury :</w:t>
      </w:r>
      <w:r w:rsidRPr="00B81D82">
        <w:rPr>
          <w:rFonts w:eastAsia="Times New Roman"/>
          <w:color w:val="000000" w:themeColor="text1"/>
          <w:lang w:eastAsia="fr-FR"/>
        </w:rPr>
        <w:t xml:space="preserve"> deux projets sélectionnés par le jury seront récompensés d’une dotation de 3000</w:t>
      </w:r>
      <w:r w:rsidRPr="00B81D82" w:rsidR="00A1654A">
        <w:rPr>
          <w:rFonts w:eastAsia="Times New Roman"/>
          <w:color w:val="000000" w:themeColor="text1"/>
          <w:lang w:eastAsia="fr-FR"/>
        </w:rPr>
        <w:t> </w:t>
      </w:r>
      <w:r w:rsidRPr="00B81D82">
        <w:rPr>
          <w:rFonts w:eastAsia="Times New Roman"/>
          <w:color w:val="000000" w:themeColor="text1"/>
          <w:lang w:eastAsia="fr-FR"/>
        </w:rPr>
        <w:t xml:space="preserve">€ chacun. </w:t>
      </w:r>
    </w:p>
    <w:p w:rsidRPr="00B81D82" w:rsidR="00381A9B" w:rsidP="7DD5BE45" w:rsidRDefault="00381A9B" w14:paraId="066ECEC6" w14:textId="7B44FD3F">
      <w:pPr>
        <w:spacing w:after="120"/>
        <w:ind w:left="567"/>
        <w:rPr>
          <w:rFonts w:eastAsia="Times New Roman"/>
          <w:color w:val="auto" w:themeColor="text1"/>
          <w:lang w:eastAsia="fr-FR"/>
        </w:rPr>
      </w:pPr>
      <w:r w:rsidRPr="7DD5BE45" w:rsidR="00381A9B">
        <w:rPr>
          <w:rFonts w:eastAsia="Times New Roman"/>
          <w:b w:val="1"/>
          <w:bCs w:val="1"/>
          <w:color w:val="000000" w:themeColor="text1" w:themeTint="FF" w:themeShade="FF"/>
          <w:lang w:eastAsia="fr-FR"/>
        </w:rPr>
        <w:t>Prix étudiant :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  le jury sélectionnera également un projet porté par </w:t>
      </w:r>
      <w:r w:rsidRPr="7DD5BE45" w:rsidR="00BB355E">
        <w:rPr>
          <w:rFonts w:eastAsia="Times New Roman"/>
          <w:color w:val="000000" w:themeColor="text1" w:themeTint="FF" w:themeShade="FF"/>
          <w:lang w:eastAsia="fr-FR"/>
        </w:rPr>
        <w:t xml:space="preserve">un ou 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des </w:t>
      </w:r>
      <w:r w:rsidRPr="7DD5BE45" w:rsidR="00B81D82">
        <w:rPr>
          <w:rFonts w:eastAsia="Times New Roman"/>
          <w:color w:val="000000" w:themeColor="text1" w:themeTint="FF" w:themeShade="FF"/>
          <w:lang w:eastAsia="fr-FR"/>
        </w:rPr>
        <w:t xml:space="preserve">étudiants </w:t>
      </w:r>
      <w:r w:rsidRPr="7DD5BE45" w:rsidR="5B6D19AD">
        <w:rPr>
          <w:rFonts w:eastAsia="Times New Roman"/>
          <w:color w:val="000000" w:themeColor="text1" w:themeTint="FF" w:themeShade="FF"/>
          <w:lang w:eastAsia="fr-FR"/>
        </w:rPr>
        <w:t xml:space="preserve">rattachés à un </w:t>
      </w:r>
      <w:r w:rsidRPr="7DD5BE45" w:rsidR="00B81D82">
        <w:rPr>
          <w:rFonts w:eastAsia="Times New Roman"/>
          <w:color w:val="000000" w:themeColor="text1" w:themeTint="FF" w:themeShade="FF"/>
          <w:lang w:eastAsia="fr-FR"/>
        </w:rPr>
        <w:t xml:space="preserve">établissement d’enseignement supérieur du territoire 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avec </w:t>
      </w:r>
      <w:r w:rsidRPr="7DD5BE45" w:rsidR="00B81D82">
        <w:rPr>
          <w:rFonts w:eastAsia="Times New Roman"/>
          <w:color w:val="000000" w:themeColor="text1" w:themeTint="FF" w:themeShade="FF"/>
          <w:lang w:eastAsia="fr-FR"/>
        </w:rPr>
        <w:t>un prix</w:t>
      </w:r>
      <w:r w:rsidRPr="7DD5BE45" w:rsidR="00381A9B">
        <w:rPr>
          <w:rFonts w:eastAsia="Times New Roman"/>
          <w:color w:val="000000" w:themeColor="text1" w:themeTint="FF" w:themeShade="FF"/>
          <w:lang w:eastAsia="fr-FR"/>
        </w:rPr>
        <w:t xml:space="preserve"> doté de </w:t>
      </w:r>
      <w:r w:rsidRPr="7DD5BE45" w:rsidR="00381A9B">
        <w:rPr>
          <w:rFonts w:eastAsia="Times New Roman"/>
          <w:color w:val="auto"/>
          <w:lang w:eastAsia="fr-FR"/>
        </w:rPr>
        <w:t>2000</w:t>
      </w:r>
      <w:r w:rsidRPr="7DD5BE45" w:rsidR="00A1654A">
        <w:rPr>
          <w:rFonts w:eastAsia="Times New Roman"/>
          <w:color w:val="auto"/>
          <w:lang w:eastAsia="fr-FR"/>
        </w:rPr>
        <w:t> </w:t>
      </w:r>
      <w:r w:rsidRPr="7DD5BE45" w:rsidR="00381A9B">
        <w:rPr>
          <w:rFonts w:eastAsia="Times New Roman"/>
          <w:color w:val="auto"/>
          <w:lang w:eastAsia="fr-FR"/>
        </w:rPr>
        <w:t xml:space="preserve">€.    </w:t>
      </w:r>
    </w:p>
    <w:p w:rsidRPr="00B81D82" w:rsidR="00BB355E" w:rsidP="7DD5BE45" w:rsidRDefault="00381A9B" w14:paraId="75BFB185" w14:textId="7B118383">
      <w:pPr>
        <w:spacing w:after="120"/>
        <w:ind w:left="567"/>
        <w:rPr>
          <w:rFonts w:eastAsia="Times New Roman"/>
          <w:b w:val="1"/>
          <w:bCs w:val="1"/>
          <w:color w:val="auto" w:themeColor="text1"/>
          <w:lang w:eastAsia="fr-FR"/>
        </w:rPr>
      </w:pPr>
      <w:r w:rsidRPr="7DD5BE45" w:rsidR="00381A9B">
        <w:rPr>
          <w:rFonts w:eastAsia="Times New Roman"/>
          <w:b w:val="1"/>
          <w:bCs w:val="1"/>
          <w:color w:val="auto"/>
          <w:lang w:eastAsia="fr-FR"/>
        </w:rPr>
        <w:t xml:space="preserve">Prix Coup de cœur : </w:t>
      </w:r>
      <w:r w:rsidRPr="7DD5BE45" w:rsidR="00381A9B">
        <w:rPr>
          <w:rFonts w:eastAsia="Times New Roman"/>
          <w:color w:val="auto"/>
          <w:lang w:eastAsia="fr-FR"/>
        </w:rPr>
        <w:t xml:space="preserve">Lors du Printemps de l’innovation organisé le </w:t>
      </w:r>
      <w:r w:rsidRPr="7DD5BE45" w:rsidR="00381A9B">
        <w:rPr>
          <w:rFonts w:eastAsia="Times New Roman"/>
          <w:color w:val="auto"/>
          <w:lang w:eastAsia="fr-FR"/>
        </w:rPr>
        <w:t>10 avril 2025</w:t>
      </w:r>
      <w:r w:rsidRPr="7DD5BE45" w:rsidR="00381A9B">
        <w:rPr>
          <w:rFonts w:eastAsia="Times New Roman"/>
          <w:color w:val="auto"/>
          <w:lang w:eastAsia="fr-FR"/>
        </w:rPr>
        <w:t>,</w:t>
      </w:r>
      <w:r w:rsidRPr="7DD5BE45" w:rsidR="00381A9B">
        <w:rPr>
          <w:rFonts w:eastAsia="Times New Roman"/>
          <w:color w:val="auto"/>
          <w:lang w:eastAsia="fr-FR"/>
        </w:rPr>
        <w:t xml:space="preserve"> les 10 projets les mieux notés lors de l’évaluation des dossiers (dont les trois lauréats) seront présentés devant l’auditoire. Les participants voteront </w:t>
      </w:r>
      <w:bookmarkStart w:name="_Hlk181634408" w:id="0"/>
      <w:r w:rsidRPr="7DD5BE45" w:rsidR="00381A9B">
        <w:rPr>
          <w:rFonts w:eastAsia="Times New Roman"/>
          <w:color w:val="auto"/>
          <w:lang w:eastAsia="fr-FR"/>
        </w:rPr>
        <w:t>pour leur projet favori, qui recevra une dotation de 2000</w:t>
      </w:r>
      <w:r w:rsidRPr="7DD5BE45" w:rsidR="00A1654A">
        <w:rPr>
          <w:rFonts w:eastAsia="Times New Roman"/>
          <w:color w:val="auto"/>
          <w:lang w:eastAsia="fr-FR"/>
        </w:rPr>
        <w:t> </w:t>
      </w:r>
      <w:r w:rsidRPr="7DD5BE45" w:rsidR="00381A9B">
        <w:rPr>
          <w:rFonts w:eastAsia="Times New Roman"/>
          <w:color w:val="auto"/>
          <w:lang w:eastAsia="fr-FR"/>
        </w:rPr>
        <w:t xml:space="preserve">€. </w:t>
      </w:r>
      <w:bookmarkEnd w:id="0"/>
      <w:r w:rsidRPr="7DD5BE45" w:rsidR="0084624F">
        <w:rPr>
          <w:rFonts w:eastAsia="Times New Roman"/>
          <w:color w:val="auto"/>
          <w:lang w:eastAsia="fr-FR"/>
        </w:rPr>
        <w:t xml:space="preserve">Ce prix pourra </w:t>
      </w:r>
      <w:r w:rsidRPr="7DD5BE45" w:rsidR="00D95940">
        <w:rPr>
          <w:rFonts w:eastAsia="Times New Roman"/>
          <w:color w:val="auto"/>
          <w:lang w:eastAsia="fr-FR"/>
        </w:rPr>
        <w:t xml:space="preserve">éventuellement </w:t>
      </w:r>
      <w:r w:rsidRPr="7DD5BE45" w:rsidR="0084624F">
        <w:rPr>
          <w:rFonts w:eastAsia="Times New Roman"/>
          <w:color w:val="auto"/>
          <w:lang w:eastAsia="fr-FR"/>
        </w:rPr>
        <w:t>être cumulable avec le prix du jury ou le prix étudiant</w:t>
      </w:r>
      <w:r w:rsidRPr="7DD5BE45" w:rsidR="5AA0B095">
        <w:rPr>
          <w:rFonts w:eastAsia="Times New Roman"/>
          <w:color w:val="auto"/>
          <w:lang w:eastAsia="fr-FR"/>
        </w:rPr>
        <w:t>.</w:t>
      </w:r>
    </w:p>
    <w:p w:rsidRPr="00B81D82" w:rsidR="00380709" w:rsidP="7DD5BE45" w:rsidRDefault="00381A9B" w14:paraId="2E3D016F" w14:textId="37005C36">
      <w:pPr>
        <w:spacing w:after="120" w:line="259" w:lineRule="auto"/>
        <w:rPr>
          <w:rFonts w:eastAsia="Times New Roman"/>
          <w:color w:val="auto" w:themeColor="text1"/>
          <w:lang w:eastAsia="fr-FR"/>
        </w:rPr>
      </w:pPr>
      <w:r w:rsidRPr="7DD5BE45" w:rsidR="00381A9B">
        <w:rPr>
          <w:rFonts w:eastAsia="Times New Roman"/>
          <w:color w:val="auto"/>
          <w:lang w:eastAsia="fr-FR"/>
        </w:rPr>
        <w:t>Tous l</w:t>
      </w:r>
      <w:r w:rsidRPr="7DD5BE45" w:rsidR="005B37C8">
        <w:rPr>
          <w:rFonts w:eastAsia="Times New Roman"/>
          <w:color w:val="auto"/>
          <w:lang w:eastAsia="fr-FR"/>
        </w:rPr>
        <w:t>e</w:t>
      </w:r>
      <w:r w:rsidRPr="7DD5BE45" w:rsidR="00935DCA">
        <w:rPr>
          <w:rFonts w:eastAsia="Times New Roman"/>
          <w:color w:val="auto"/>
          <w:lang w:eastAsia="fr-FR"/>
        </w:rPr>
        <w:t>s</w:t>
      </w:r>
      <w:r w:rsidRPr="7DD5BE45" w:rsidR="005B37C8">
        <w:rPr>
          <w:rFonts w:eastAsia="Times New Roman"/>
          <w:color w:val="auto"/>
          <w:lang w:eastAsia="fr-FR"/>
        </w:rPr>
        <w:t xml:space="preserve"> </w:t>
      </w:r>
      <w:r w:rsidRPr="7DD5BE45" w:rsidR="00385997">
        <w:rPr>
          <w:rFonts w:eastAsia="Times New Roman"/>
          <w:color w:val="auto"/>
          <w:lang w:eastAsia="fr-FR"/>
        </w:rPr>
        <w:t xml:space="preserve">prix </w:t>
      </w:r>
      <w:r w:rsidRPr="7DD5BE45" w:rsidR="007019EB">
        <w:rPr>
          <w:rFonts w:eastAsia="Times New Roman"/>
          <w:color w:val="auto"/>
          <w:lang w:eastAsia="fr-FR"/>
        </w:rPr>
        <w:t>ser</w:t>
      </w:r>
      <w:r w:rsidRPr="7DD5BE45" w:rsidR="00935DCA">
        <w:rPr>
          <w:rFonts w:eastAsia="Times New Roman"/>
          <w:color w:val="auto"/>
          <w:lang w:eastAsia="fr-FR"/>
        </w:rPr>
        <w:t>ont</w:t>
      </w:r>
      <w:r w:rsidRPr="7DD5BE45" w:rsidR="007019EB">
        <w:rPr>
          <w:rFonts w:eastAsia="Times New Roman"/>
          <w:color w:val="auto"/>
          <w:lang w:eastAsia="fr-FR"/>
        </w:rPr>
        <w:t xml:space="preserve"> obligatoirement </w:t>
      </w:r>
      <w:r w:rsidRPr="7DD5BE45" w:rsidR="3668DC61">
        <w:rPr>
          <w:rFonts w:eastAsia="Times New Roman"/>
          <w:color w:val="auto"/>
          <w:lang w:eastAsia="fr-FR"/>
        </w:rPr>
        <w:t>versé</w:t>
      </w:r>
      <w:r w:rsidRPr="7DD5BE45" w:rsidR="00935DCA">
        <w:rPr>
          <w:rFonts w:eastAsia="Times New Roman"/>
          <w:color w:val="auto"/>
          <w:lang w:eastAsia="fr-FR"/>
        </w:rPr>
        <w:t>s</w:t>
      </w:r>
      <w:r w:rsidRPr="7DD5BE45" w:rsidR="007019EB">
        <w:rPr>
          <w:rFonts w:eastAsia="Times New Roman"/>
          <w:color w:val="auto"/>
          <w:lang w:eastAsia="fr-FR"/>
        </w:rPr>
        <w:t xml:space="preserve"> à une personne</w:t>
      </w:r>
      <w:r w:rsidRPr="7DD5BE45" w:rsidR="00385997">
        <w:rPr>
          <w:rFonts w:eastAsia="Times New Roman"/>
          <w:color w:val="auto"/>
          <w:lang w:eastAsia="fr-FR"/>
        </w:rPr>
        <w:t xml:space="preserve"> </w:t>
      </w:r>
      <w:r w:rsidRPr="7DD5BE45" w:rsidR="41041912">
        <w:rPr>
          <w:rFonts w:eastAsia="Times New Roman"/>
          <w:color w:val="auto"/>
          <w:lang w:eastAsia="fr-FR"/>
        </w:rPr>
        <w:t xml:space="preserve">morale. </w:t>
      </w:r>
    </w:p>
    <w:p w:rsidRPr="00B81D82" w:rsidR="002E255B" w:rsidP="7DD5BE45" w:rsidRDefault="002E255B" w14:paraId="71E086C9" w14:textId="1B810CD0">
      <w:pPr>
        <w:spacing w:after="120" w:line="259" w:lineRule="auto"/>
        <w:ind w:left="567"/>
        <w:rPr>
          <w:rFonts w:eastAsia="Times New Roman"/>
          <w:b w:val="1"/>
          <w:bCs w:val="1"/>
          <w:color w:val="auto" w:themeColor="text1"/>
          <w:lang w:eastAsia="fr-FR"/>
        </w:rPr>
      </w:pPr>
      <w:r w:rsidRPr="7DD5BE45" w:rsidR="002E255B">
        <w:rPr>
          <w:rFonts w:eastAsia="Times New Roman"/>
          <w:b w:val="1"/>
          <w:bCs w:val="1"/>
          <w:color w:val="auto" w:themeColor="text1"/>
          <w:lang w:eastAsia="fr-FR"/>
        </w:rPr>
        <w:t xml:space="preserve">Prix des </w:t>
      </w:r>
      <w:r w:rsidRPr="7DD5BE45" w:rsidR="62E813C3">
        <w:rPr>
          <w:rFonts w:eastAsia="Times New Roman"/>
          <w:b w:val="1"/>
          <w:bCs w:val="1"/>
          <w:color w:val="auto" w:themeColor="text1"/>
          <w:lang w:eastAsia="fr-FR"/>
        </w:rPr>
        <w:t>p</w:t>
      </w:r>
      <w:r w:rsidRPr="7DD5BE45" w:rsidR="002E255B">
        <w:rPr>
          <w:rFonts w:eastAsia="Times New Roman"/>
          <w:b w:val="1"/>
          <w:bCs w:val="1"/>
          <w:color w:val="auto" w:themeColor="text1"/>
          <w:lang w:eastAsia="fr-FR"/>
        </w:rPr>
        <w:t>artenaires</w:t>
      </w:r>
      <w:r w:rsidRPr="7DD5BE45" w:rsidR="00F40D07">
        <w:rPr>
          <w:rStyle w:val="Appelnotedebasdep"/>
          <w:rFonts w:eastAsia="Times New Roman"/>
          <w:b w:val="1"/>
          <w:bCs w:val="1"/>
          <w:color w:val="auto" w:themeColor="text1"/>
          <w:lang w:eastAsia="fr-FR"/>
        </w:rPr>
        <w:footnoteReference w:id="2"/>
      </w:r>
      <w:r w:rsidRPr="7DD5BE45" w:rsidR="00BB355E">
        <w:rPr>
          <w:rFonts w:eastAsia="Times New Roman"/>
          <w:b w:val="1"/>
          <w:bCs w:val="1"/>
          <w:color w:val="auto" w:themeColor="text1"/>
          <w:lang w:eastAsia="fr-FR"/>
        </w:rPr>
        <w:t xml:space="preserve"> : 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Plusieurs partenaires d</w:t>
      </w:r>
      <w:r w:rsidRPr="7DD5BE45" w:rsidR="05CA2D9C">
        <w:rPr>
          <w:rFonts w:eastAsia="Times New Roman"/>
          <w:color w:val="auto" w:themeColor="text1"/>
          <w:lang w:eastAsia="fr-FR"/>
        </w:rPr>
        <w:t xml:space="preserve">e l’EPT Grand Orly Seine Bièvre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ont décidé de s’associer </w:t>
      </w:r>
      <w:r w:rsidRPr="7DD5BE45" w:rsidR="00F40D07">
        <w:rPr>
          <w:rFonts w:eastAsia="Times New Roman"/>
          <w:color w:val="auto" w:themeColor="text1"/>
          <w:lang w:eastAsia="fr-FR"/>
        </w:rPr>
        <w:t>à la Bourse de l’innovation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afin de récompenser un ou plusieurs </w:t>
      </w:r>
      <w:r w:rsidRPr="7DD5BE45" w:rsidR="6031389C">
        <w:rPr>
          <w:rFonts w:eastAsia="Times New Roman"/>
          <w:color w:val="auto" w:themeColor="text1"/>
          <w:lang w:eastAsia="fr-FR"/>
        </w:rPr>
        <w:t xml:space="preserve">projets </w:t>
      </w:r>
      <w:r w:rsidRPr="7DD5BE45" w:rsidR="00F40D07">
        <w:rPr>
          <w:rFonts w:eastAsia="Times New Roman"/>
          <w:color w:val="auto" w:themeColor="text1"/>
          <w:lang w:eastAsia="fr-FR"/>
        </w:rPr>
        <w:t xml:space="preserve">de leur choix.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Ces prix pourront être une aide matérielle, </w:t>
      </w:r>
      <w:r w:rsidRPr="7DD5BE45" w:rsidR="00381A9B">
        <w:rPr>
          <w:rFonts w:eastAsia="Times New Roman"/>
          <w:color w:val="auto" w:themeColor="text1"/>
          <w:lang w:eastAsia="fr-FR"/>
        </w:rPr>
        <w:t xml:space="preserve">un hébergement offert </w:t>
      </w:r>
      <w:r w:rsidRPr="7DD5BE45" w:rsidR="00666633">
        <w:rPr>
          <w:rFonts w:eastAsia="Times New Roman"/>
          <w:color w:val="auto" w:themeColor="text1"/>
          <w:lang w:eastAsia="fr-FR"/>
        </w:rPr>
        <w:t>ou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</w:t>
      </w:r>
      <w:r w:rsidRPr="7DD5BE45" w:rsidR="00381A9B">
        <w:rPr>
          <w:rFonts w:eastAsia="Times New Roman"/>
          <w:color w:val="auto" w:themeColor="text1"/>
          <w:lang w:eastAsia="fr-FR"/>
        </w:rPr>
        <w:t>un accompagnement</w:t>
      </w:r>
      <w:r w:rsidRPr="7DD5BE45" w:rsidR="002E255B">
        <w:rPr>
          <w:rFonts w:eastAsia="Times New Roman"/>
          <w:color w:val="auto" w:themeColor="text1"/>
          <w:lang w:eastAsia="fr-FR"/>
        </w:rPr>
        <w:t>. Le</w:t>
      </w:r>
      <w:r w:rsidRPr="7DD5BE45" w:rsidR="00F40D07">
        <w:rPr>
          <w:rFonts w:eastAsia="Times New Roman"/>
          <w:color w:val="auto" w:themeColor="text1"/>
          <w:lang w:eastAsia="fr-FR"/>
        </w:rPr>
        <w:t>s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bénéficiaire</w:t>
      </w:r>
      <w:r w:rsidRPr="7DD5BE45" w:rsidR="00F40D07">
        <w:rPr>
          <w:rFonts w:eastAsia="Times New Roman"/>
          <w:color w:val="auto" w:themeColor="text1"/>
          <w:lang w:eastAsia="fr-FR"/>
        </w:rPr>
        <w:t>s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</w:t>
      </w:r>
      <w:r w:rsidRPr="7DD5BE45" w:rsidR="00F40D07">
        <w:rPr>
          <w:rFonts w:eastAsia="Times New Roman"/>
          <w:color w:val="auto" w:themeColor="text1"/>
          <w:lang w:eastAsia="fr-FR"/>
        </w:rPr>
        <w:t xml:space="preserve">seront </w:t>
      </w:r>
      <w:r w:rsidRPr="7DD5BE45" w:rsidR="002E255B">
        <w:rPr>
          <w:rFonts w:eastAsia="Times New Roman"/>
          <w:color w:val="auto" w:themeColor="text1"/>
          <w:lang w:eastAsia="fr-FR"/>
        </w:rPr>
        <w:t>choisi</w:t>
      </w:r>
      <w:r w:rsidRPr="7DD5BE45" w:rsidR="00F40D07">
        <w:rPr>
          <w:rFonts w:eastAsia="Times New Roman"/>
          <w:color w:val="auto" w:themeColor="text1"/>
          <w:lang w:eastAsia="fr-FR"/>
        </w:rPr>
        <w:t>s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par chaque partenaire parmi les candidats à la Bourse territoriale d’innovation</w:t>
      </w:r>
      <w:r w:rsidRPr="7DD5BE45" w:rsidR="00A1654A">
        <w:rPr>
          <w:rFonts w:eastAsia="Times New Roman"/>
          <w:color w:val="auto" w:themeColor="text1"/>
          <w:lang w:eastAsia="fr-FR"/>
        </w:rPr>
        <w:t>.</w:t>
      </w:r>
      <w:r w:rsidRPr="7DD5BE45" w:rsidR="002E255B">
        <w:rPr>
          <w:rFonts w:eastAsia="Times New Roman"/>
          <w:color w:val="auto" w:themeColor="text1"/>
          <w:lang w:eastAsia="fr-FR"/>
        </w:rPr>
        <w:t xml:space="preserve"> </w:t>
      </w:r>
    </w:p>
    <w:p w:rsidRPr="00775614" w:rsidR="002E255B" w:rsidP="7DD5BE45" w:rsidRDefault="00775614" w14:paraId="173E447E" w14:textId="5790D10C">
      <w:pPr>
        <w:spacing w:after="120" w:line="259" w:lineRule="auto"/>
        <w:ind w:firstLine="567"/>
        <w:rPr>
          <w:rFonts w:eastAsia="Times New Roman"/>
          <w:b w:val="1"/>
          <w:bCs w:val="1"/>
          <w:color w:val="auto"/>
          <w:lang w:eastAsia="fr-FR"/>
        </w:rPr>
      </w:pP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Liste des partenaires </w:t>
      </w:r>
      <w:r w:rsidRPr="7DD5BE45" w:rsidR="2EE1296C">
        <w:rPr>
          <w:rFonts w:eastAsia="Times New Roman"/>
          <w:b w:val="1"/>
          <w:bCs w:val="1"/>
          <w:color w:val="auto"/>
          <w:lang w:eastAsia="fr-FR"/>
        </w:rPr>
        <w:t>2024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:</w:t>
      </w:r>
    </w:p>
    <w:p w:rsidRPr="00775614" w:rsidR="00775614" w:rsidP="7DD5BE45" w:rsidRDefault="00775614" w14:paraId="48661724" w14:textId="317970F7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b w:val="1"/>
          <w:bCs w:val="1"/>
          <w:color w:val="auto"/>
          <w:lang w:eastAsia="fr-FR"/>
        </w:rPr>
      </w:pP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L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a 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Handitech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7DD5BE45" w:rsidR="00775614">
        <w:rPr>
          <w:rFonts w:eastAsia="Times New Roman"/>
          <w:color w:val="auto"/>
          <w:lang w:eastAsia="fr-FR"/>
        </w:rPr>
        <w:t>(</w:t>
      </w:r>
      <w:r w:rsidRPr="7DD5BE45" w:rsidR="42CFE5D3">
        <w:rPr>
          <w:rFonts w:eastAsia="Times New Roman"/>
          <w:color w:val="auto"/>
          <w:lang w:eastAsia="fr-FR"/>
        </w:rPr>
        <w:t>adhésion offerte</w:t>
      </w:r>
      <w:r w:rsidRPr="7DD5BE45" w:rsidR="00775614">
        <w:rPr>
          <w:rFonts w:eastAsia="Times New Roman"/>
          <w:color w:val="auto"/>
          <w:lang w:eastAsia="fr-FR"/>
        </w:rPr>
        <w:t>)</w:t>
      </w:r>
    </w:p>
    <w:p w:rsidRPr="00DF09EB" w:rsidR="008E4FE0" w:rsidP="7DD5BE45" w:rsidRDefault="00775614" w14:paraId="3F39AA23" w14:textId="2CF94151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b w:val="1"/>
          <w:bCs w:val="1"/>
          <w:color w:val="auto"/>
          <w:lang w:eastAsia="fr-FR"/>
        </w:rPr>
      </w:pP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La 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Fabrique</w:t>
      </w:r>
      <w:r w:rsidRPr="7DD5BE45" w:rsidR="002E255B">
        <w:rPr>
          <w:rFonts w:eastAsia="Times New Roman"/>
          <w:b w:val="1"/>
          <w:bCs w:val="1"/>
          <w:color w:val="auto"/>
          <w:lang w:eastAsia="fr-FR"/>
        </w:rPr>
        <w:t xml:space="preserve"> et de la Station</w:t>
      </w:r>
      <w:r w:rsidRPr="7DD5BE45" w:rsidR="00F40D07">
        <w:rPr>
          <w:rFonts w:eastAsia="Times New Roman"/>
          <w:b w:val="1"/>
          <w:bCs w:val="1"/>
          <w:color w:val="auto"/>
          <w:lang w:eastAsia="fr-FR"/>
        </w:rPr>
        <w:t> 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(</w:t>
      </w:r>
      <w:r w:rsidRPr="7DD5BE45" w:rsidR="5AE5CA5C">
        <w:rPr>
          <w:rFonts w:eastAsia="Times New Roman"/>
          <w:color w:val="auto"/>
          <w:lang w:eastAsia="fr-FR"/>
        </w:rPr>
        <w:t xml:space="preserve">hébergement et </w:t>
      </w:r>
      <w:r w:rsidRPr="7DD5BE45" w:rsidR="098ED776">
        <w:rPr>
          <w:rFonts w:eastAsia="Times New Roman"/>
          <w:color w:val="auto"/>
          <w:lang w:eastAsia="fr-FR"/>
        </w:rPr>
        <w:t>accompagnement</w:t>
      </w:r>
      <w:r w:rsidRPr="7DD5BE45" w:rsidR="5AE5CA5C">
        <w:rPr>
          <w:rFonts w:eastAsia="Times New Roman"/>
          <w:color w:val="auto"/>
          <w:lang w:eastAsia="fr-FR"/>
        </w:rPr>
        <w:t xml:space="preserve"> gratuit de </w:t>
      </w:r>
      <w:r w:rsidRPr="7DD5BE45" w:rsidR="008E4FE0">
        <w:rPr>
          <w:rFonts w:eastAsia="Times New Roman"/>
          <w:color w:val="auto"/>
          <w:lang w:eastAsia="fr-FR"/>
        </w:rPr>
        <w:t xml:space="preserve">6 </w:t>
      </w:r>
      <w:r w:rsidRPr="7DD5BE45" w:rsidR="5AE5CA5C">
        <w:rPr>
          <w:rFonts w:eastAsia="Times New Roman"/>
          <w:color w:val="auto"/>
          <w:lang w:eastAsia="fr-FR"/>
        </w:rPr>
        <w:t>mois</w:t>
      </w:r>
      <w:r w:rsidRPr="7DD5BE45" w:rsidR="00775614">
        <w:rPr>
          <w:rFonts w:eastAsia="Times New Roman"/>
          <w:color w:val="auto"/>
          <w:lang w:eastAsia="fr-FR"/>
        </w:rPr>
        <w:t>)</w:t>
      </w:r>
      <w:r w:rsidRPr="7DD5BE45" w:rsidR="5AE5CA5C">
        <w:rPr>
          <w:rFonts w:eastAsia="Times New Roman"/>
          <w:b w:val="1"/>
          <w:bCs w:val="1"/>
          <w:color w:val="auto"/>
          <w:lang w:eastAsia="fr-FR"/>
        </w:rPr>
        <w:t xml:space="preserve"> </w:t>
      </w:r>
    </w:p>
    <w:p w:rsidRPr="00DF09EB" w:rsidR="002E255B" w:rsidP="7DD5BE45" w:rsidRDefault="002E255B" w14:paraId="3DB63830" w14:textId="14BC88FE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color w:val="auto"/>
          <w:lang w:eastAsia="fr-FR"/>
        </w:rPr>
      </w:pPr>
      <w:r w:rsidRPr="7DD5BE45" w:rsidR="002E255B">
        <w:rPr>
          <w:rFonts w:eastAsia="Times New Roman"/>
          <w:b w:val="1"/>
          <w:bCs w:val="1"/>
          <w:color w:val="auto"/>
          <w:lang w:eastAsia="fr-FR"/>
        </w:rPr>
        <w:t>Silver</w:t>
      </w:r>
      <w:r w:rsidRPr="7DD5BE45" w:rsidR="4487DB44">
        <w:rPr>
          <w:rFonts w:eastAsia="Times New Roman"/>
          <w:b w:val="1"/>
          <w:bCs w:val="1"/>
          <w:color w:val="auto"/>
          <w:lang w:eastAsia="fr-FR"/>
        </w:rPr>
        <w:t xml:space="preserve"> I</w:t>
      </w:r>
      <w:r w:rsidRPr="7DD5BE45" w:rsidR="002E255B">
        <w:rPr>
          <w:rFonts w:eastAsia="Times New Roman"/>
          <w:b w:val="1"/>
          <w:bCs w:val="1"/>
          <w:color w:val="auto"/>
          <w:lang w:eastAsia="fr-FR"/>
        </w:rPr>
        <w:t>nnov</w:t>
      </w:r>
      <w:r w:rsidRPr="7DD5BE45" w:rsidR="008E4FE0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7DD5BE45" w:rsidR="00775614">
        <w:rPr>
          <w:rFonts w:eastAsia="Times New Roman"/>
          <w:color w:val="auto"/>
          <w:lang w:eastAsia="fr-FR"/>
        </w:rPr>
        <w:t>(h</w:t>
      </w:r>
      <w:r w:rsidRPr="7DD5BE45" w:rsidR="3D2C1BC9">
        <w:rPr>
          <w:rFonts w:eastAsia="Times New Roman"/>
          <w:color w:val="auto"/>
          <w:lang w:eastAsia="fr-FR"/>
        </w:rPr>
        <w:t xml:space="preserve">ébergement gratuit </w:t>
      </w:r>
      <w:r w:rsidRPr="7DD5BE45" w:rsidR="07F7281A">
        <w:rPr>
          <w:rFonts w:eastAsia="Times New Roman"/>
          <w:color w:val="auto"/>
          <w:lang w:eastAsia="fr-FR"/>
        </w:rPr>
        <w:t>pendant</w:t>
      </w:r>
      <w:r w:rsidRPr="7DD5BE45" w:rsidR="3D2C1BC9">
        <w:rPr>
          <w:rFonts w:eastAsia="Times New Roman"/>
          <w:color w:val="auto"/>
          <w:lang w:eastAsia="fr-FR"/>
        </w:rPr>
        <w:t xml:space="preserve"> 3 mois</w:t>
      </w:r>
      <w:r w:rsidRPr="7DD5BE45" w:rsidR="00775614">
        <w:rPr>
          <w:rFonts w:eastAsia="Times New Roman"/>
          <w:color w:val="auto"/>
          <w:lang w:eastAsia="fr-FR"/>
        </w:rPr>
        <w:t>)</w:t>
      </w:r>
      <w:r w:rsidRPr="7DD5BE45" w:rsidR="3D2C1BC9">
        <w:rPr>
          <w:rFonts w:eastAsia="Times New Roman"/>
          <w:color w:val="auto"/>
          <w:lang w:eastAsia="fr-FR"/>
        </w:rPr>
        <w:t xml:space="preserve"> </w:t>
      </w:r>
    </w:p>
    <w:p w:rsidRPr="00775614" w:rsidR="00775614" w:rsidP="7DD5BE45" w:rsidRDefault="00775614" w14:paraId="5FCC967D" w14:textId="6E14716C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color w:val="auto"/>
          <w:lang w:eastAsia="fr-FR"/>
        </w:rPr>
      </w:pP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Cluster E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au </w:t>
      </w:r>
      <w:r w:rsidRPr="7DD5BE45" w:rsidR="192B02D8">
        <w:rPr>
          <w:rFonts w:eastAsia="Times New Roman"/>
          <w:b w:val="1"/>
          <w:bCs w:val="1"/>
          <w:color w:val="auto"/>
          <w:lang w:eastAsia="fr-FR"/>
        </w:rPr>
        <w:t>Milieux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S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>ol</w:t>
      </w:r>
      <w:r w:rsidRPr="7DD5BE45" w:rsidR="46D1D67F">
        <w:rPr>
          <w:rFonts w:eastAsia="Times New Roman"/>
          <w:b w:val="1"/>
          <w:bCs w:val="1"/>
          <w:color w:val="auto"/>
          <w:lang w:eastAsia="fr-FR"/>
        </w:rPr>
        <w:t>s</w:t>
      </w:r>
      <w:r w:rsidRPr="7DD5BE45" w:rsidR="00775614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7DD5BE45" w:rsidR="00775614">
        <w:rPr>
          <w:rFonts w:eastAsia="Times New Roman"/>
          <w:color w:val="auto"/>
          <w:lang w:eastAsia="fr-FR"/>
        </w:rPr>
        <w:t>(</w:t>
      </w:r>
      <w:r w:rsidRPr="7DD5BE45" w:rsidR="00775614">
        <w:rPr>
          <w:rFonts w:eastAsia="Times New Roman"/>
          <w:color w:val="auto"/>
          <w:lang w:eastAsia="fr-FR"/>
        </w:rPr>
        <w:t>heure de conseil</w:t>
      </w:r>
      <w:r w:rsidRPr="7DD5BE45" w:rsidR="00775614">
        <w:rPr>
          <w:rFonts w:eastAsia="Times New Roman"/>
          <w:color w:val="auto"/>
          <w:lang w:eastAsia="fr-FR"/>
        </w:rPr>
        <w:t>)</w:t>
      </w:r>
    </w:p>
    <w:p w:rsidRPr="00775614" w:rsidR="00775614" w:rsidP="7DD5BE45" w:rsidRDefault="002E255B" w14:paraId="66C00ACC" w14:textId="5D374F95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color w:val="auto"/>
          <w:lang w:eastAsia="fr-FR"/>
        </w:rPr>
      </w:pPr>
      <w:r w:rsidRPr="7DD5BE45" w:rsidR="002E255B">
        <w:rPr>
          <w:rFonts w:eastAsia="Times New Roman"/>
          <w:b w:val="1"/>
          <w:bCs w:val="1"/>
          <w:color w:val="auto"/>
          <w:lang w:eastAsia="fr-FR"/>
        </w:rPr>
        <w:t>Matériaupole</w:t>
      </w:r>
      <w:r w:rsidRPr="7DD5BE45" w:rsidR="3910A3B1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7DD5BE45" w:rsidR="00775614">
        <w:rPr>
          <w:rFonts w:eastAsia="Times New Roman"/>
          <w:color w:val="auto"/>
          <w:lang w:eastAsia="fr-FR"/>
        </w:rPr>
        <w:t>(</w:t>
      </w:r>
      <w:r w:rsidRPr="7DD5BE45" w:rsidR="00775614">
        <w:rPr>
          <w:rFonts w:eastAsia="Times New Roman"/>
          <w:color w:val="auto"/>
          <w:lang w:eastAsia="fr-FR"/>
        </w:rPr>
        <w:t>heure de conseil)</w:t>
      </w:r>
    </w:p>
    <w:p w:rsidR="112E7C31" w:rsidP="7DD5BE45" w:rsidRDefault="112E7C31" w14:paraId="50C549A0" w14:textId="2C4B5C1D">
      <w:pPr>
        <w:pStyle w:val="Paragraphedeliste"/>
        <w:numPr>
          <w:ilvl w:val="0"/>
          <w:numId w:val="14"/>
        </w:numPr>
        <w:spacing w:after="120" w:line="259" w:lineRule="auto"/>
        <w:ind w:left="1418"/>
        <w:rPr>
          <w:rFonts w:eastAsia="Times New Roman"/>
          <w:color w:val="auto"/>
          <w:lang w:eastAsia="fr-FR"/>
        </w:rPr>
      </w:pPr>
      <w:r w:rsidRPr="7DD5BE45" w:rsidR="112E7C31">
        <w:rPr>
          <w:rFonts w:eastAsia="Times New Roman"/>
          <w:b w:val="1"/>
          <w:bCs w:val="1"/>
          <w:color w:val="auto"/>
          <w:lang w:eastAsia="fr-FR"/>
        </w:rPr>
        <w:t>Malakoff Humanis</w:t>
      </w:r>
      <w:r w:rsidRPr="7DD5BE45" w:rsidR="112E7C31">
        <w:rPr>
          <w:rFonts w:eastAsia="Times New Roman"/>
          <w:color w:val="auto"/>
          <w:lang w:eastAsia="fr-FR"/>
        </w:rPr>
        <w:t xml:space="preserve"> (</w:t>
      </w:r>
      <w:r w:rsidRPr="7DD5BE45" w:rsidR="1E3DA907">
        <w:rPr>
          <w:rFonts w:eastAsia="Times New Roman"/>
          <w:color w:val="auto"/>
          <w:lang w:eastAsia="fr-FR"/>
        </w:rPr>
        <w:t>dotation en numéraire)</w:t>
      </w:r>
      <w:r w:rsidRPr="7DD5BE45" w:rsidR="112E7C31">
        <w:rPr>
          <w:rFonts w:eastAsia="Times New Roman"/>
          <w:color w:val="auto"/>
          <w:lang w:eastAsia="fr-FR"/>
        </w:rPr>
        <w:t xml:space="preserve"> </w:t>
      </w:r>
    </w:p>
    <w:p w:rsidRPr="00DF09EB" w:rsidR="002E255B" w:rsidP="7DD5BE45" w:rsidRDefault="002E255B" w14:paraId="690A02C7" w14:textId="706B20D4">
      <w:pPr>
        <w:pStyle w:val="Paragraphedeliste"/>
        <w:spacing w:after="120" w:line="259" w:lineRule="auto"/>
        <w:ind w:left="1418"/>
        <w:rPr>
          <w:rFonts w:eastAsia="Times New Roman"/>
          <w:b w:val="1"/>
          <w:bCs w:val="1"/>
          <w:color w:val="FF0000"/>
          <w:lang w:eastAsia="fr-FR"/>
        </w:rPr>
      </w:pPr>
    </w:p>
    <w:p w:rsidRPr="00B81D82" w:rsidR="00AA3EE1" w:rsidP="00BB355E" w:rsidRDefault="00BA4C87" w14:paraId="7613FBEC" w14:textId="318DC7A9">
      <w:pPr>
        <w:keepNext/>
        <w:spacing w:before="240" w:after="120"/>
        <w:rPr>
          <w:rFonts w:eastAsia="Times New Roman"/>
          <w:b/>
          <w:bCs/>
          <w:color w:val="000000" w:themeColor="text1"/>
          <w:lang w:eastAsia="fr-FR"/>
        </w:rPr>
      </w:pPr>
      <w:r w:rsidRPr="00B81D82">
        <w:rPr>
          <w:rFonts w:eastAsia="Times New Roman"/>
          <w:b/>
          <w:bCs/>
          <w:color w:val="000000" w:themeColor="text1"/>
          <w:lang w:eastAsia="fr-FR"/>
        </w:rPr>
        <w:t>ARTICLE 6 </w:t>
      </w:r>
      <w:r w:rsidRPr="00B81D82" w:rsidR="003675F8">
        <w:rPr>
          <w:rFonts w:eastAsia="Times New Roman"/>
          <w:b/>
          <w:bCs/>
          <w:color w:val="000000" w:themeColor="text1"/>
          <w:lang w:eastAsia="fr-FR"/>
        </w:rPr>
        <w:t>-</w:t>
      </w:r>
      <w:r w:rsidRPr="00B81D82">
        <w:rPr>
          <w:rFonts w:eastAsia="Times New Roman"/>
          <w:b/>
          <w:bCs/>
          <w:color w:val="000000" w:themeColor="text1"/>
          <w:lang w:eastAsia="fr-FR"/>
        </w:rPr>
        <w:t xml:space="preserve"> COMMUNICATION ET ACCOMPAGNEMENT DES LAUREATS</w:t>
      </w:r>
    </w:p>
    <w:p w:rsidRPr="00B81D82" w:rsidR="00AA3EE1" w:rsidP="00BB355E" w:rsidRDefault="252C3638" w14:paraId="237D6C96" w14:textId="074BF4D5">
      <w:pPr>
        <w:keepNext/>
        <w:spacing w:after="120"/>
        <w:rPr>
          <w:rFonts w:eastAsia="Times New Roman"/>
          <w:color w:val="000000" w:themeColor="text1"/>
          <w:lang w:eastAsia="fr-FR"/>
        </w:rPr>
      </w:pPr>
      <w:r w:rsidRPr="00B81D82">
        <w:rPr>
          <w:rFonts w:eastAsia="Times New Roman"/>
          <w:color w:val="000000" w:themeColor="text1"/>
          <w:lang w:eastAsia="fr-FR"/>
        </w:rPr>
        <w:t xml:space="preserve">Les différents </w:t>
      </w:r>
      <w:r w:rsidRPr="00B81D82" w:rsidR="0085293A">
        <w:rPr>
          <w:rFonts w:eastAsia="Times New Roman"/>
          <w:color w:val="000000" w:themeColor="text1"/>
          <w:lang w:eastAsia="fr-FR"/>
        </w:rPr>
        <w:t>lauréats</w:t>
      </w:r>
      <w:r w:rsidRPr="00B81D82">
        <w:rPr>
          <w:rFonts w:eastAsia="Times New Roman"/>
          <w:color w:val="000000" w:themeColor="text1"/>
          <w:lang w:eastAsia="fr-FR"/>
        </w:rPr>
        <w:t xml:space="preserve"> seront mis en avant par la communication </w:t>
      </w:r>
      <w:r w:rsidRPr="00B81D82" w:rsidR="00B87C35">
        <w:rPr>
          <w:rFonts w:eastAsia="Times New Roman"/>
          <w:color w:val="000000" w:themeColor="text1"/>
          <w:lang w:eastAsia="fr-FR"/>
        </w:rPr>
        <w:t>du Grand-Orly Seine Bièvre</w:t>
      </w:r>
      <w:r w:rsidRPr="00B81D82">
        <w:rPr>
          <w:rFonts w:eastAsia="Times New Roman"/>
          <w:color w:val="000000" w:themeColor="text1"/>
          <w:lang w:eastAsia="fr-FR"/>
        </w:rPr>
        <w:t xml:space="preserve"> et de ses partenaires</w:t>
      </w:r>
    </w:p>
    <w:p w:rsidRPr="00B81D82" w:rsidR="00103132" w:rsidP="00844187" w:rsidRDefault="0085293A" w14:paraId="0B338B31" w14:textId="20AEC041">
      <w:pPr>
        <w:spacing w:after="120"/>
        <w:rPr>
          <w:rFonts w:eastAsia="Times New Roman"/>
          <w:color w:val="000000" w:themeColor="text1"/>
          <w:lang w:eastAsia="fr-FR"/>
        </w:rPr>
      </w:pPr>
      <w:r w:rsidRPr="00B81D82">
        <w:rPr>
          <w:rFonts w:eastAsia="Times New Roman"/>
          <w:color w:val="000000" w:themeColor="text1"/>
          <w:lang w:eastAsia="fr-FR"/>
        </w:rPr>
        <w:t>Ils pourront</w:t>
      </w:r>
      <w:r w:rsidRPr="00B81D82" w:rsidR="252C3638">
        <w:rPr>
          <w:rFonts w:eastAsia="Times New Roman"/>
          <w:color w:val="000000" w:themeColor="text1"/>
          <w:lang w:eastAsia="fr-FR"/>
        </w:rPr>
        <w:t xml:space="preserve"> également, en fonction des projets et des besoins</w:t>
      </w:r>
      <w:r w:rsidRPr="00B81D82" w:rsidR="00BF0664">
        <w:rPr>
          <w:rFonts w:eastAsia="Times New Roman"/>
          <w:color w:val="000000" w:themeColor="text1"/>
          <w:lang w:eastAsia="fr-FR"/>
        </w:rPr>
        <w:t>,</w:t>
      </w:r>
      <w:r w:rsidRPr="00B81D82" w:rsidR="252C3638">
        <w:rPr>
          <w:rFonts w:eastAsia="Times New Roman"/>
          <w:color w:val="000000" w:themeColor="text1"/>
          <w:lang w:eastAsia="fr-FR"/>
        </w:rPr>
        <w:t xml:space="preserve"> bénéficier d’un accompagnement du territoire </w:t>
      </w:r>
      <w:r w:rsidRPr="00B81D82">
        <w:rPr>
          <w:rFonts w:eastAsia="Times New Roman"/>
          <w:color w:val="000000" w:themeColor="text1"/>
          <w:lang w:eastAsia="fr-FR"/>
        </w:rPr>
        <w:t xml:space="preserve">ou </w:t>
      </w:r>
      <w:r w:rsidRPr="00B81D82" w:rsidR="00BF0664">
        <w:rPr>
          <w:rFonts w:eastAsia="Times New Roman"/>
          <w:color w:val="000000" w:themeColor="text1"/>
          <w:lang w:eastAsia="fr-FR"/>
        </w:rPr>
        <w:t xml:space="preserve">d’un </w:t>
      </w:r>
      <w:r w:rsidRPr="00B81D82">
        <w:rPr>
          <w:rFonts w:eastAsia="Times New Roman"/>
          <w:color w:val="000000" w:themeColor="text1"/>
          <w:lang w:eastAsia="fr-FR"/>
        </w:rPr>
        <w:t>partenaire</w:t>
      </w:r>
      <w:r w:rsidRPr="00B81D82" w:rsidR="252C3638">
        <w:rPr>
          <w:rFonts w:eastAsia="Times New Roman"/>
          <w:color w:val="000000" w:themeColor="text1"/>
          <w:lang w:eastAsia="fr-FR"/>
        </w:rPr>
        <w:t xml:space="preserve"> pour des appuis au développement (</w:t>
      </w:r>
      <w:r w:rsidRPr="00B81D82" w:rsidR="00A55080">
        <w:rPr>
          <w:rFonts w:eastAsia="Times New Roman"/>
          <w:color w:val="000000" w:themeColor="text1"/>
          <w:lang w:eastAsia="fr-FR"/>
        </w:rPr>
        <w:t>c</w:t>
      </w:r>
      <w:r w:rsidRPr="00B81D82" w:rsidR="252C3638">
        <w:rPr>
          <w:rFonts w:eastAsia="Times New Roman"/>
          <w:color w:val="000000" w:themeColor="text1"/>
          <w:lang w:eastAsia="fr-FR"/>
        </w:rPr>
        <w:t>onseil</w:t>
      </w:r>
      <w:r w:rsidRPr="00B81D82" w:rsidR="3073FCF8">
        <w:rPr>
          <w:rFonts w:eastAsia="Times New Roman"/>
          <w:color w:val="000000" w:themeColor="text1"/>
          <w:lang w:eastAsia="fr-FR"/>
        </w:rPr>
        <w:t>, expérimentation...)</w:t>
      </w:r>
      <w:r w:rsidRPr="00B81D82" w:rsidR="00BF0664">
        <w:rPr>
          <w:rFonts w:eastAsia="Times New Roman"/>
          <w:color w:val="000000" w:themeColor="text1"/>
          <w:lang w:eastAsia="fr-FR"/>
        </w:rPr>
        <w:t>.</w:t>
      </w:r>
    </w:p>
    <w:p w:rsidRPr="00B81D82" w:rsidR="00575EEC" w:rsidP="00BB355E" w:rsidRDefault="00BA4C87" w14:paraId="2B88ED77" w14:textId="0922285A">
      <w:pPr>
        <w:spacing w:before="240" w:after="240"/>
        <w:rPr>
          <w:rFonts w:eastAsia="Times New Roman"/>
          <w:b/>
          <w:bCs/>
          <w:color w:val="000000" w:themeColor="text1"/>
          <w:lang w:eastAsia="fr-FR"/>
        </w:rPr>
      </w:pPr>
      <w:r w:rsidRPr="00B81D82">
        <w:rPr>
          <w:rFonts w:eastAsia="Times New Roman"/>
          <w:b/>
          <w:bCs/>
          <w:color w:val="000000" w:themeColor="text1"/>
          <w:lang w:eastAsia="fr-FR"/>
        </w:rPr>
        <w:t>ARTICLE 8 </w:t>
      </w:r>
      <w:r w:rsidRPr="00B81D82" w:rsidR="003675F8">
        <w:rPr>
          <w:rFonts w:eastAsia="Times New Roman"/>
          <w:b/>
          <w:bCs/>
          <w:color w:val="000000" w:themeColor="text1"/>
          <w:lang w:eastAsia="fr-FR"/>
        </w:rPr>
        <w:t>-</w:t>
      </w:r>
      <w:r w:rsidRPr="00B81D82">
        <w:rPr>
          <w:rFonts w:eastAsia="Times New Roman"/>
          <w:b/>
          <w:bCs/>
          <w:color w:val="000000" w:themeColor="text1"/>
          <w:lang w:eastAsia="fr-FR"/>
        </w:rPr>
        <w:t xml:space="preserve"> CRITERES D’EVALUATION DES PROJETS  </w:t>
      </w:r>
    </w:p>
    <w:tbl>
      <w:tblPr>
        <w:tblStyle w:val="Grilledutableau"/>
        <w:tblW w:w="90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98"/>
        <w:gridCol w:w="5417"/>
        <w:gridCol w:w="1355"/>
      </w:tblGrid>
      <w:tr w:rsidRPr="00B81D82" w:rsidR="00B81D82" w:rsidTr="00BB355E" w14:paraId="70A28CA4" w14:textId="77777777">
        <w:trPr>
          <w:trHeight w:val="352"/>
          <w:jc w:val="center"/>
        </w:trPr>
        <w:tc>
          <w:tcPr>
            <w:tcW w:w="9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4A693107" w14:textId="591E5F2F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81D82">
              <w:rPr>
                <w:b/>
                <w:bCs/>
                <w:color w:val="000000" w:themeColor="text1"/>
              </w:rPr>
              <w:t>Grille d'évaluation des projets</w:t>
            </w:r>
          </w:p>
        </w:tc>
      </w:tr>
      <w:tr w:rsidRPr="00B81D82" w:rsidR="00B81D82" w:rsidTr="00BB355E" w14:paraId="33704EB4" w14:textId="77777777">
        <w:trPr>
          <w:trHeight w:val="555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7120A60E" w14:textId="314E9D5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Axe d’évaluation</w:t>
            </w:r>
          </w:p>
        </w:tc>
        <w:tc>
          <w:tcPr>
            <w:tcW w:w="5715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0C8F669E" w14:textId="54D95CB5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Critères</w:t>
            </w:r>
          </w:p>
        </w:tc>
        <w:tc>
          <w:tcPr>
            <w:tcW w:w="13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746074DE" w14:textId="50EB71C3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Notes </w:t>
            </w:r>
            <w:r w:rsidRPr="00B81D8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1 (moins bon) à 5 (meilleurs) /5</w:t>
            </w:r>
          </w:p>
        </w:tc>
      </w:tr>
      <w:tr w:rsidRPr="00B81D82" w:rsidR="00B81D82" w:rsidTr="00BB355E" w14:paraId="6CC0A3E7" w14:textId="77777777">
        <w:trPr>
          <w:trHeight w:val="567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FF91231" w14:textId="1E9BE40D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Evaluation de la qualité du projet</w:t>
            </w:r>
          </w:p>
        </w:tc>
        <w:tc>
          <w:tcPr>
            <w:tcW w:w="298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E2FECE9" w14:textId="40F769B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9AF4D05" w14:textId="2CE336B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 xml:space="preserve">Liens avec les politiques publiques (voir article 1). 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003D3BBE" w14:textId="18E6B6D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026A07A5" w14:textId="77777777">
        <w:trPr>
          <w:trHeight w:val="300"/>
          <w:jc w:val="center"/>
        </w:trPr>
        <w:tc>
          <w:tcPr>
            <w:tcW w:w="19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81D82" w:rsidR="00BB355E" w:rsidP="00BB355E" w:rsidRDefault="00BB355E" w14:paraId="37F349E9" w14:textId="7777777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8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4A5EE55D" w14:textId="00D6297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419E9BD" w14:textId="1A16E36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 xml:space="preserve">Caractère innovant de l’idée, du produit ou du service proposé </w:t>
            </w:r>
            <w:bookmarkStart w:name="_Hlk180412269" w:id="1"/>
            <w:r w:rsidRPr="00B81D82">
              <w:rPr>
                <w:rFonts w:ascii="Calibri" w:hAnsi="Calibri" w:eastAsia="Calibri" w:cs="Calibri"/>
                <w:color w:val="000000" w:themeColor="text1"/>
              </w:rPr>
              <w:t>(le projet se démarque par une approche ou des supports techniques novateurs).</w:t>
            </w:r>
            <w:bookmarkEnd w:id="1"/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73DBC575" w14:textId="11BBE92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18905D4C" w14:textId="77777777">
        <w:trPr>
          <w:trHeight w:val="465"/>
          <w:jc w:val="center"/>
        </w:trPr>
        <w:tc>
          <w:tcPr>
            <w:tcW w:w="19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81D82" w:rsidR="00BB355E" w:rsidP="00BB355E" w:rsidRDefault="00BB355E" w14:paraId="1ACCB2F6" w14:textId="7777777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8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8323594" w14:textId="190646C0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C5B2D04" w14:textId="6560BA0B">
            <w:pPr>
              <w:rPr>
                <w:rFonts w:ascii="Calibri" w:hAnsi="Calibri" w:eastAsia="Calibri" w:cs="Calibri"/>
                <w:color w:val="000000" w:themeColor="text1"/>
              </w:rPr>
            </w:pPr>
            <w:bookmarkStart w:name="_Hlk180412053" w:id="2"/>
            <w:r w:rsidRPr="00B81D82">
              <w:rPr>
                <w:rFonts w:ascii="Calibri" w:hAnsi="Calibri" w:eastAsia="Calibri" w:cs="Calibri"/>
                <w:color w:val="000000" w:themeColor="text1"/>
              </w:rPr>
              <w:t>“Design universel” (services ou solutions techniques qui prennent en compte le plus grand nombre d’usagers ou utilisateurs).</w:t>
            </w:r>
            <w:bookmarkEnd w:id="2"/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DB6F0A1" w14:textId="6B29DF1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426930D6" w14:textId="77777777">
        <w:trPr>
          <w:trHeight w:val="606"/>
          <w:jc w:val="center"/>
        </w:trPr>
        <w:tc>
          <w:tcPr>
            <w:tcW w:w="19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81D82" w:rsidR="00BB355E" w:rsidP="00BB355E" w:rsidRDefault="00BB355E" w14:paraId="0A6D89DA" w14:textId="7777777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98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74E18E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4" w:space="0"/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7A1D61C7" w14:textId="5C99D3B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Faisabilité technique du projet.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43CFAA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3821009A" w14:textId="77777777">
        <w:trPr>
          <w:trHeight w:val="856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BAB03CD" w14:textId="360A4C50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Impact Environnemental</w:t>
            </w:r>
          </w:p>
          <w:p w:rsidRPr="00B81D82" w:rsidR="00BB355E" w:rsidP="00BB355E" w:rsidRDefault="00BB355E" w14:paraId="057EAE48" w14:textId="31ADF6AE">
            <w:pPr>
              <w:jc w:val="left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98" w:type="dxa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7C92B068" w14:textId="24A25A4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7F6F5D2" w14:textId="1493412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Contribution à l’économie circulaire (réemplois, circuits courts...).</w:t>
            </w:r>
          </w:p>
        </w:tc>
        <w:tc>
          <w:tcPr>
            <w:tcW w:w="1355" w:type="dxa"/>
            <w:tcBorders>
              <w:top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0294B3F6" w14:textId="185F0D4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7B78CD5C" w14:textId="77777777">
        <w:trPr>
          <w:trHeight w:val="684"/>
          <w:jc w:val="center"/>
        </w:trPr>
        <w:tc>
          <w:tcPr>
            <w:tcW w:w="1965" w:type="dxa"/>
            <w:vMerge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40E088A" w14:textId="77777777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298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496A67C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21D233B" w14:textId="6D1840D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Prise en compte de l’impact et des enjeux environnementaux dans la conception de la solution proposée.</w:t>
            </w:r>
          </w:p>
        </w:tc>
        <w:tc>
          <w:tcPr>
            <w:tcW w:w="1355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02DD364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0593EE38" w14:textId="77777777">
        <w:trPr>
          <w:trHeight w:val="693"/>
          <w:jc w:val="center"/>
        </w:trPr>
        <w:tc>
          <w:tcPr>
            <w:tcW w:w="1965" w:type="dxa"/>
            <w:vMerge w:val="restart"/>
            <w:vAlign w:val="center"/>
          </w:tcPr>
          <w:p w:rsidRPr="00B81D82" w:rsidR="00BB355E" w:rsidP="00BB355E" w:rsidRDefault="00BB355E" w14:paraId="4113D81F" w14:textId="79DD31B9">
            <w:pPr>
              <w:jc w:val="left"/>
              <w:rPr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Evaluation de la réponse aux enjeux sociaux /sociétaux</w:t>
            </w: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9C35C66" w14:textId="135EFA0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05A5B6D5" w14:textId="3AE43E7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 xml:space="preserve">Prise en compte des populations fragiles et minorisées. 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3C318A3E" w14:textId="059FD490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4FF02AA6" w14:textId="77777777">
        <w:trPr>
          <w:trHeight w:val="651"/>
          <w:jc w:val="center"/>
        </w:trPr>
        <w:tc>
          <w:tcPr>
            <w:tcW w:w="1965" w:type="dxa"/>
            <w:vMerge/>
            <w:vAlign w:val="center"/>
          </w:tcPr>
          <w:p w:rsidRPr="00B81D82" w:rsidR="00BB355E" w:rsidP="00BB355E" w:rsidRDefault="00BB355E" w14:paraId="3D50AF0E" w14:textId="77777777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B58779D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BF19F78" w14:textId="057F4F73">
            <w:pPr>
              <w:rPr>
                <w:rFonts w:ascii="Calibri" w:hAnsi="Calibri" w:eastAsia="Calibri" w:cs="Calibri"/>
                <w:color w:val="000000" w:themeColor="text1"/>
              </w:rPr>
            </w:pPr>
            <w:bookmarkStart w:name="_Hlk181642013" w:id="3"/>
            <w:r w:rsidRPr="00B81D82">
              <w:rPr>
                <w:rFonts w:ascii="Calibri" w:hAnsi="Calibri" w:eastAsia="Calibri" w:cs="Calibri"/>
                <w:color w:val="000000" w:themeColor="text1"/>
              </w:rPr>
              <w:t>Amélioration de la qualité de vie des usagers</w:t>
            </w:r>
            <w:bookmarkEnd w:id="3"/>
            <w:r w:rsidRPr="00B81D82">
              <w:rPr>
                <w:color w:val="000000" w:themeColor="text1"/>
              </w:rPr>
              <w:t xml:space="preserve"> </w:t>
            </w:r>
            <w:r w:rsidRPr="00B81D82">
              <w:rPr>
                <w:rFonts w:ascii="Calibri" w:hAnsi="Calibri" w:eastAsia="Calibri" w:cs="Calibri"/>
                <w:color w:val="000000" w:themeColor="text1"/>
              </w:rPr>
              <w:t>et des citoyens.</w:t>
            </w:r>
          </w:p>
        </w:tc>
        <w:tc>
          <w:tcPr>
            <w:tcW w:w="13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F7FABD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7BE238EF" w14:textId="77777777">
        <w:trPr>
          <w:trHeight w:val="889"/>
          <w:jc w:val="center"/>
        </w:trPr>
        <w:tc>
          <w:tcPr>
            <w:tcW w:w="196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014961A" w14:textId="63DEDC3F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Evaluation économique du projet</w:t>
            </w:r>
          </w:p>
        </w:tc>
        <w:tc>
          <w:tcPr>
            <w:tcW w:w="298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4F7302D8" w14:textId="0F994D5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3671808" w14:textId="14CF9B9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Eléments d’équilibre économique.</w:t>
            </w:r>
          </w:p>
          <w:p w:rsidRPr="00B81D82" w:rsidR="00BB355E" w:rsidP="00BB355E" w:rsidRDefault="00BB355E" w14:paraId="3ABF38F2" w14:textId="485BFBF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Sources de financements-revenus, éventuel business-plan.</w:t>
            </w:r>
          </w:p>
        </w:tc>
        <w:tc>
          <w:tcPr>
            <w:tcW w:w="1355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578B1D8" w14:textId="50D1A74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3DF404C8" w14:textId="77777777">
        <w:trPr>
          <w:trHeight w:val="513"/>
          <w:jc w:val="center"/>
        </w:trPr>
        <w:tc>
          <w:tcPr>
            <w:tcW w:w="1965" w:type="dxa"/>
            <w:vMerge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3C845E3" w14:textId="0AA635C2">
            <w:pPr>
              <w:jc w:val="left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98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683E85A" w14:textId="2A03B34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135103B" w14:textId="7900AF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Réplicabilité du projet.</w:t>
            </w:r>
          </w:p>
        </w:tc>
        <w:tc>
          <w:tcPr>
            <w:tcW w:w="1355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23B0779" w14:textId="3892A96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1C4D6E08" w14:textId="77777777">
        <w:trPr>
          <w:trHeight w:val="775"/>
          <w:jc w:val="center"/>
        </w:trPr>
        <w:tc>
          <w:tcPr>
            <w:tcW w:w="1965" w:type="dxa"/>
            <w:vMerge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238AC76" w14:textId="77777777">
            <w:pPr>
              <w:jc w:val="left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98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233CD67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6FFCD538" w14:textId="2CCE14C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Potentiel du projet en termes de création d’emploi (estimation)</w:t>
            </w:r>
          </w:p>
        </w:tc>
        <w:tc>
          <w:tcPr>
            <w:tcW w:w="1355" w:type="dxa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18CA972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81D82" w:rsidR="00B81D82" w:rsidTr="00BB355E" w14:paraId="63BE5539" w14:textId="77777777">
        <w:trPr>
          <w:trHeight w:val="680"/>
          <w:jc w:val="center"/>
        </w:trPr>
        <w:tc>
          <w:tcPr>
            <w:tcW w:w="196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427A9F7" w14:textId="25690BD3">
            <w:pPr>
              <w:jc w:val="left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b/>
                <w:bCs/>
                <w:color w:val="000000" w:themeColor="text1"/>
              </w:rPr>
              <w:t>Critère supplémentaire pour les projets étudiants</w:t>
            </w:r>
          </w:p>
        </w:tc>
        <w:tc>
          <w:tcPr>
            <w:tcW w:w="298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10B0474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17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55ABC490" w14:textId="4957275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B81D82">
              <w:rPr>
                <w:rFonts w:ascii="Calibri" w:hAnsi="Calibri" w:eastAsia="Calibri" w:cs="Calibri"/>
                <w:color w:val="000000" w:themeColor="text1"/>
              </w:rPr>
              <w:t>Capacité de l’équipe à porter un projet entrepreneurial.</w:t>
            </w:r>
          </w:p>
        </w:tc>
        <w:tc>
          <w:tcPr>
            <w:tcW w:w="135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Pr="00B81D82" w:rsidR="00BB355E" w:rsidP="00BB355E" w:rsidRDefault="00BB355E" w14:paraId="39A0AA9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81D82" w:rsidR="000418A1" w:rsidP="000418A1" w:rsidRDefault="000418A1" w14:paraId="423B7EB3" w14:textId="77777777">
      <w:pPr>
        <w:rPr>
          <w:b/>
          <w:bCs/>
          <w:caps/>
          <w:color w:val="000000" w:themeColor="text1"/>
        </w:rPr>
      </w:pPr>
    </w:p>
    <w:p w:rsidRPr="00B81D82" w:rsidR="000418A1" w:rsidP="000418A1" w:rsidRDefault="000418A1" w14:paraId="3C30E51B" w14:textId="77777777">
      <w:pPr>
        <w:rPr>
          <w:b/>
          <w:bCs/>
          <w:caps/>
          <w:color w:val="000000" w:themeColor="text1"/>
        </w:rPr>
      </w:pPr>
    </w:p>
    <w:p w:rsidRPr="00B81D82" w:rsidR="00B60E8C" w:rsidP="000418A1" w:rsidRDefault="00A670CA" w14:paraId="68B1E231" w14:textId="1AB21088">
      <w:pPr>
        <w:spacing w:before="240" w:after="120"/>
        <w:rPr>
          <w:b/>
          <w:bCs/>
          <w:caps/>
          <w:color w:val="000000" w:themeColor="text1"/>
        </w:rPr>
      </w:pPr>
      <w:r w:rsidRPr="00B81D82">
        <w:rPr>
          <w:b/>
          <w:bCs/>
          <w:caps/>
          <w:color w:val="000000" w:themeColor="text1"/>
        </w:rPr>
        <w:t>Article</w:t>
      </w:r>
      <w:r w:rsidRPr="00B81D82" w:rsidR="00B60E8C">
        <w:rPr>
          <w:b/>
          <w:bCs/>
          <w:caps/>
          <w:color w:val="000000" w:themeColor="text1"/>
        </w:rPr>
        <w:t xml:space="preserve"> </w:t>
      </w:r>
      <w:r w:rsidRPr="00B81D82" w:rsidR="00107E93">
        <w:rPr>
          <w:b/>
          <w:bCs/>
          <w:caps/>
          <w:color w:val="000000" w:themeColor="text1"/>
        </w:rPr>
        <w:t>9</w:t>
      </w:r>
      <w:r w:rsidRPr="00B81D82" w:rsidR="0085293A">
        <w:rPr>
          <w:b/>
          <w:bCs/>
          <w:caps/>
          <w:color w:val="000000" w:themeColor="text1"/>
        </w:rPr>
        <w:t xml:space="preserve"> </w:t>
      </w:r>
      <w:r w:rsidRPr="00B81D82" w:rsidR="00B60E8C">
        <w:rPr>
          <w:b/>
          <w:bCs/>
          <w:caps/>
          <w:color w:val="000000" w:themeColor="text1"/>
        </w:rPr>
        <w:t xml:space="preserve">- </w:t>
      </w:r>
      <w:r w:rsidRPr="00B81D82" w:rsidR="00B60E8C">
        <w:rPr>
          <w:rFonts w:eastAsia="Times New Roman" w:cstheme="minorHAnsi"/>
          <w:b/>
          <w:bCs/>
          <w:caps/>
          <w:color w:val="000000" w:themeColor="text1"/>
          <w:lang w:eastAsia="fr-FR"/>
        </w:rPr>
        <w:t>Données personnelles</w:t>
      </w:r>
    </w:p>
    <w:p w:rsidRPr="00B81D82" w:rsidR="00B60E8C" w:rsidP="00381A9B" w:rsidRDefault="00B60E8C" w14:paraId="0B3F6F16" w14:textId="16352F03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 xml:space="preserve">Le </w:t>
      </w:r>
      <w:bookmarkStart w:name="_Hlk148538704" w:id="4"/>
      <w:r w:rsidRPr="00B81D82" w:rsidR="00126CD8">
        <w:rPr>
          <w:rFonts w:eastAsia="Times New Roman" w:cstheme="minorHAnsi"/>
          <w:color w:val="000000" w:themeColor="text1"/>
          <w:lang w:eastAsia="fr-FR"/>
        </w:rPr>
        <w:t>Gra</w:t>
      </w:r>
      <w:r w:rsidRPr="00B81D82" w:rsidR="00653C33">
        <w:rPr>
          <w:rFonts w:eastAsia="Times New Roman" w:cstheme="minorHAnsi"/>
          <w:color w:val="000000" w:themeColor="text1"/>
          <w:lang w:eastAsia="fr-FR"/>
        </w:rPr>
        <w:t>nd-Orly Seine Bièvre</w:t>
      </w:r>
      <w:r w:rsidRPr="00B81D82">
        <w:rPr>
          <w:rFonts w:eastAsia="Times New Roman" w:cstheme="minorHAnsi"/>
          <w:color w:val="000000" w:themeColor="text1"/>
          <w:lang w:eastAsia="fr-FR"/>
        </w:rPr>
        <w:t xml:space="preserve"> </w:t>
      </w:r>
      <w:bookmarkEnd w:id="4"/>
      <w:r w:rsidRPr="00B81D82">
        <w:rPr>
          <w:rFonts w:eastAsia="Times New Roman" w:cstheme="minorHAnsi"/>
          <w:color w:val="000000" w:themeColor="text1"/>
          <w:lang w:eastAsia="fr-FR"/>
        </w:rPr>
        <w:t>s’engage au respect des dispositions réglementaires et légales conformes au Règlement Général pour la Protection des Données à caractère personnel. Ainsi :</w:t>
      </w:r>
    </w:p>
    <w:p w:rsidRPr="00B81D82" w:rsidR="00B60E8C" w:rsidP="00381A9B" w:rsidRDefault="00B60E8C" w14:paraId="1B954715" w14:textId="77777777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>1. Nature des données personnelles</w:t>
      </w:r>
    </w:p>
    <w:p w:rsidRPr="00B81D82" w:rsidR="00B60E8C" w:rsidP="00381A9B" w:rsidRDefault="00B60E8C" w14:paraId="48D4AAEC" w14:textId="7145AA06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 xml:space="preserve">Dans le cadre du concours, les données personnelles que </w:t>
      </w:r>
      <w:r w:rsidRPr="00B81D82" w:rsidR="00C00889">
        <w:rPr>
          <w:rFonts w:eastAsia="Times New Roman" w:cstheme="minorHAnsi"/>
          <w:color w:val="000000" w:themeColor="text1"/>
          <w:lang w:eastAsia="fr-FR"/>
        </w:rPr>
        <w:t>le Grand-Orly Seine Bièvre</w:t>
      </w:r>
      <w:r w:rsidRPr="00B81D82">
        <w:rPr>
          <w:rFonts w:eastAsia="Times New Roman" w:cstheme="minorHAnsi"/>
          <w:color w:val="000000" w:themeColor="text1"/>
          <w:lang w:eastAsia="fr-FR"/>
        </w:rPr>
        <w:t xml:space="preserve"> est amené à recueillir proviennent des informations volontairement fournies par les participants en remplissant les formulaires d’inscription.</w:t>
      </w:r>
    </w:p>
    <w:p w:rsidRPr="00B81D82" w:rsidR="00B60E8C" w:rsidP="00381A9B" w:rsidRDefault="00B60E8C" w14:paraId="14544CF1" w14:textId="77777777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>2. Usage des données personnelles</w:t>
      </w:r>
    </w:p>
    <w:p w:rsidRPr="00B81D82" w:rsidR="00B60E8C" w:rsidP="00381A9B" w:rsidRDefault="00B60E8C" w14:paraId="011870A1" w14:textId="268AA2F5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 xml:space="preserve">Les données personnelles définies ci-dessus sont recueillies dans le strict cadre du de la Bourse </w:t>
      </w:r>
      <w:r w:rsidRPr="00B81D82" w:rsidR="00C00889">
        <w:rPr>
          <w:rFonts w:eastAsia="Times New Roman" w:cstheme="minorHAnsi"/>
          <w:color w:val="000000" w:themeColor="text1"/>
          <w:lang w:eastAsia="fr-FR"/>
        </w:rPr>
        <w:t>de l’</w:t>
      </w:r>
      <w:r w:rsidRPr="00B81D82">
        <w:rPr>
          <w:rFonts w:eastAsia="Times New Roman" w:cstheme="minorHAnsi"/>
          <w:color w:val="000000" w:themeColor="text1"/>
          <w:lang w:eastAsia="fr-FR"/>
        </w:rPr>
        <w:t>innovation.</w:t>
      </w:r>
    </w:p>
    <w:p w:rsidRPr="00B81D82" w:rsidR="00B60E8C" w:rsidP="00381A9B" w:rsidRDefault="00B60E8C" w14:paraId="21A57102" w14:textId="36E515F5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>Elles ne pourront être utilisées dans un autre cadre et seront supprimées dans l’année qui suit le concours.</w:t>
      </w:r>
    </w:p>
    <w:p w:rsidRPr="00B81D82" w:rsidR="00B60E8C" w:rsidP="00381A9B" w:rsidRDefault="00B60E8C" w14:paraId="62ED2D1F" w14:textId="77777777">
      <w:pPr>
        <w:spacing w:after="120"/>
        <w:rPr>
          <w:rFonts w:eastAsia="Times New Roman" w:cstheme="minorHAnsi"/>
          <w:color w:val="000000" w:themeColor="text1"/>
          <w:lang w:eastAsia="fr-FR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>3. Destinataire des données personnelles</w:t>
      </w:r>
    </w:p>
    <w:p w:rsidRPr="00B81D82" w:rsidR="00B60E8C" w:rsidP="00844187" w:rsidRDefault="00B60E8C" w14:paraId="6165AA5F" w14:textId="23DF5C8D">
      <w:pPr>
        <w:spacing w:after="120"/>
        <w:rPr>
          <w:rFonts w:cstheme="minorHAnsi"/>
          <w:color w:val="000000" w:themeColor="text1"/>
        </w:rPr>
      </w:pPr>
      <w:r w:rsidRPr="00B81D82">
        <w:rPr>
          <w:rFonts w:eastAsia="Times New Roman" w:cstheme="minorHAnsi"/>
          <w:color w:val="000000" w:themeColor="text1"/>
          <w:lang w:eastAsia="fr-FR"/>
        </w:rPr>
        <w:t xml:space="preserve">Les destinataires des données recueillies sont les seuls services organisateurs </w:t>
      </w:r>
      <w:r w:rsidRPr="00B81D82" w:rsidR="00301746">
        <w:rPr>
          <w:rFonts w:eastAsia="Times New Roman" w:cstheme="minorHAnsi"/>
          <w:color w:val="000000" w:themeColor="text1"/>
          <w:lang w:eastAsia="fr-FR"/>
        </w:rPr>
        <w:t>du Grand-Orly Seine Bièvre</w:t>
      </w:r>
      <w:r w:rsidRPr="00B81D82">
        <w:rPr>
          <w:rFonts w:eastAsia="Times New Roman" w:cstheme="minorHAnsi"/>
          <w:color w:val="000000" w:themeColor="text1"/>
          <w:lang w:eastAsia="fr-FR"/>
        </w:rPr>
        <w:t xml:space="preserve"> et les membres des jurys. En aucun cas les données ne seront transmises à des acteurs commerciaux ou publicitaires.</w:t>
      </w:r>
    </w:p>
    <w:sectPr w:rsidRPr="00B81D82" w:rsidR="00B60E8C" w:rsidSect="00850C16">
      <w:headerReference w:type="default" r:id="rId15"/>
      <w:footerReference w:type="default" r:id="rId16"/>
      <w:footnotePr>
        <w:numFmt w:val="chicago"/>
        <w:numRestart w:val="eachPage"/>
      </w:footnotePr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75C4" w:rsidRDefault="00E175C4" w14:paraId="34CD7D67" w14:textId="77777777">
      <w:r>
        <w:separator/>
      </w:r>
    </w:p>
  </w:endnote>
  <w:endnote w:type="continuationSeparator" w:id="0">
    <w:p w:rsidR="00E175C4" w:rsidRDefault="00E175C4" w14:paraId="12387DA8" w14:textId="77777777">
      <w:r>
        <w:continuationSeparator/>
      </w:r>
    </w:p>
  </w:endnote>
  <w:endnote w:type="continuationNotice" w:id="1">
    <w:p w:rsidR="00E175C4" w:rsidRDefault="00E175C4" w14:paraId="5C4197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439305"/>
      <w:docPartObj>
        <w:docPartGallery w:val="Page Numbers (Bottom of Page)"/>
        <w:docPartUnique/>
      </w:docPartObj>
    </w:sdtPr>
    <w:sdtContent>
      <w:p w:rsidR="00BB355E" w:rsidRDefault="00BB355E" w14:paraId="48AF6C48" w14:textId="60ECE8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4C03" w:rsidRDefault="00134C03" w14:paraId="030BBD8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75C4" w:rsidRDefault="00E175C4" w14:paraId="3C0F8555" w14:textId="77777777">
      <w:r>
        <w:separator/>
      </w:r>
    </w:p>
  </w:footnote>
  <w:footnote w:type="continuationSeparator" w:id="0">
    <w:p w:rsidR="00E175C4" w:rsidRDefault="00E175C4" w14:paraId="177D1681" w14:textId="77777777">
      <w:r>
        <w:continuationSeparator/>
      </w:r>
    </w:p>
  </w:footnote>
  <w:footnote w:type="continuationNotice" w:id="1">
    <w:p w:rsidR="00E175C4" w:rsidRDefault="00E175C4" w14:paraId="6A2A973E" w14:textId="77777777"/>
  </w:footnote>
  <w:footnote w:id="2">
    <w:p w:rsidR="00F40D07" w:rsidRDefault="00F40D07" w14:paraId="34A46E02" w14:textId="4200583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81A9B">
        <w:t>L</w:t>
      </w:r>
      <w:r w:rsidRPr="00F40D07">
        <w:t>a liste des partenaires et le contenu des prix peu</w:t>
      </w:r>
      <w:r w:rsidR="008E4FE0">
        <w:t>vent</w:t>
      </w:r>
      <w:r w:rsidRPr="00F40D07">
        <w:t xml:space="preserve"> évoluer d’ici la tenue du jury</w:t>
      </w:r>
      <w:r w:rsidR="008E4FE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8C477F" w:rsidTr="00381A9B" w14:paraId="5E3F61A0" w14:textId="77777777">
      <w:trPr>
        <w:trHeight w:val="300"/>
      </w:trPr>
      <w:tc>
        <w:tcPr>
          <w:tcW w:w="3020" w:type="dxa"/>
        </w:tcPr>
        <w:p w:rsidR="528C477F" w:rsidP="00381A9B" w:rsidRDefault="528C477F" w14:paraId="258519E4" w14:textId="04797300">
          <w:pPr>
            <w:pStyle w:val="En-tte"/>
            <w:ind w:left="-115"/>
            <w:jc w:val="left"/>
          </w:pPr>
        </w:p>
      </w:tc>
      <w:tc>
        <w:tcPr>
          <w:tcW w:w="3020" w:type="dxa"/>
        </w:tcPr>
        <w:p w:rsidR="528C477F" w:rsidP="00381A9B" w:rsidRDefault="528C477F" w14:paraId="6FA30931" w14:textId="6B18AFEF">
          <w:pPr>
            <w:pStyle w:val="En-tte"/>
            <w:jc w:val="center"/>
          </w:pPr>
        </w:p>
      </w:tc>
      <w:tc>
        <w:tcPr>
          <w:tcW w:w="3020" w:type="dxa"/>
        </w:tcPr>
        <w:p w:rsidR="528C477F" w:rsidP="00381A9B" w:rsidRDefault="528C477F" w14:paraId="2C63686D" w14:textId="06B1D6B8">
          <w:pPr>
            <w:pStyle w:val="En-tte"/>
            <w:ind w:right="-115"/>
            <w:jc w:val="right"/>
          </w:pPr>
        </w:p>
      </w:tc>
    </w:tr>
  </w:tbl>
  <w:p w:rsidR="528C477F" w:rsidP="00381A9B" w:rsidRDefault="528C477F" w14:paraId="3B3A2B53" w14:textId="27E24F1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F3A"/>
    <w:multiLevelType w:val="hybridMultilevel"/>
    <w:tmpl w:val="FB602DC4"/>
    <w:lvl w:ilvl="0" w:tplc="F94462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FC6765"/>
    <w:multiLevelType w:val="multilevel"/>
    <w:tmpl w:val="928EE5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29A84B2E"/>
    <w:multiLevelType w:val="hybridMultilevel"/>
    <w:tmpl w:val="B3D6B62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EF5979"/>
    <w:multiLevelType w:val="multilevel"/>
    <w:tmpl w:val="72222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37F2765D"/>
    <w:multiLevelType w:val="multilevel"/>
    <w:tmpl w:val="65141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9617CB1"/>
    <w:multiLevelType w:val="multilevel"/>
    <w:tmpl w:val="A5E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0FD5F33"/>
    <w:multiLevelType w:val="multilevel"/>
    <w:tmpl w:val="E6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F348DE"/>
    <w:multiLevelType w:val="multilevel"/>
    <w:tmpl w:val="4A52C35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523B7579"/>
    <w:multiLevelType w:val="hybridMultilevel"/>
    <w:tmpl w:val="4C3CF788"/>
    <w:lvl w:ilvl="0" w:tplc="DE145F4E">
      <w:start w:val="1"/>
      <w:numFmt w:val="bullet"/>
      <w:lvlText w:val="-"/>
      <w:lvlJc w:val="left"/>
      <w:pPr>
        <w:ind w:left="720" w:hanging="360"/>
      </w:pPr>
      <w:rPr>
        <w:rFonts w:hint="default" w:asciiTheme="minorHAnsi" w:hAnsiTheme="minorHAnsi" w:cstheme="minorHAnsi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1F6B0B"/>
    <w:multiLevelType w:val="multilevel"/>
    <w:tmpl w:val="8CEEE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65C50454"/>
    <w:multiLevelType w:val="multilevel"/>
    <w:tmpl w:val="772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5D90E2D"/>
    <w:multiLevelType w:val="multilevel"/>
    <w:tmpl w:val="2BE0B5F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78F073A0"/>
    <w:multiLevelType w:val="multilevel"/>
    <w:tmpl w:val="234EE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7A8B6972"/>
    <w:multiLevelType w:val="hybridMultilevel"/>
    <w:tmpl w:val="1198461A"/>
    <w:lvl w:ilvl="0" w:tplc="E454F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26E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12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006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A5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DA0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80D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723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F26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AE461F9"/>
    <w:multiLevelType w:val="multilevel"/>
    <w:tmpl w:val="BD5E54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725570536">
    <w:abstractNumId w:val="2"/>
  </w:num>
  <w:num w:numId="2" w16cid:durableId="1880438341">
    <w:abstractNumId w:val="8"/>
  </w:num>
  <w:num w:numId="3" w16cid:durableId="170068217">
    <w:abstractNumId w:val="10"/>
  </w:num>
  <w:num w:numId="4" w16cid:durableId="373889910">
    <w:abstractNumId w:val="1"/>
  </w:num>
  <w:num w:numId="5" w16cid:durableId="1482964486">
    <w:abstractNumId w:val="3"/>
  </w:num>
  <w:num w:numId="6" w16cid:durableId="1201163075">
    <w:abstractNumId w:val="14"/>
  </w:num>
  <w:num w:numId="7" w16cid:durableId="476646815">
    <w:abstractNumId w:val="12"/>
  </w:num>
  <w:num w:numId="8" w16cid:durableId="1443106706">
    <w:abstractNumId w:val="5"/>
  </w:num>
  <w:num w:numId="9" w16cid:durableId="1052119385">
    <w:abstractNumId w:val="7"/>
  </w:num>
  <w:num w:numId="10" w16cid:durableId="1727410048">
    <w:abstractNumId w:val="4"/>
  </w:num>
  <w:num w:numId="11" w16cid:durableId="905578359">
    <w:abstractNumId w:val="6"/>
  </w:num>
  <w:num w:numId="12" w16cid:durableId="802386405">
    <w:abstractNumId w:val="9"/>
  </w:num>
  <w:num w:numId="13" w16cid:durableId="1906379640">
    <w:abstractNumId w:val="11"/>
  </w:num>
  <w:num w:numId="14" w16cid:durableId="712968598">
    <w:abstractNumId w:val="0"/>
  </w:num>
  <w:num w:numId="15" w16cid:durableId="15304139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B4"/>
    <w:rsid w:val="00004FF9"/>
    <w:rsid w:val="00013975"/>
    <w:rsid w:val="000274EC"/>
    <w:rsid w:val="000418A1"/>
    <w:rsid w:val="000477CD"/>
    <w:rsid w:val="00050936"/>
    <w:rsid w:val="000509E2"/>
    <w:rsid w:val="0006342C"/>
    <w:rsid w:val="00066B78"/>
    <w:rsid w:val="00066E61"/>
    <w:rsid w:val="00085BC7"/>
    <w:rsid w:val="0009612B"/>
    <w:rsid w:val="000A16B4"/>
    <w:rsid w:val="000B407A"/>
    <w:rsid w:val="000C7439"/>
    <w:rsid w:val="000D581D"/>
    <w:rsid w:val="000E1CAB"/>
    <w:rsid w:val="000E2689"/>
    <w:rsid w:val="000E55B3"/>
    <w:rsid w:val="000E6327"/>
    <w:rsid w:val="000F282C"/>
    <w:rsid w:val="00103132"/>
    <w:rsid w:val="00107CA0"/>
    <w:rsid w:val="00107E93"/>
    <w:rsid w:val="00115046"/>
    <w:rsid w:val="00117E71"/>
    <w:rsid w:val="00126CD8"/>
    <w:rsid w:val="00134C03"/>
    <w:rsid w:val="00135AE9"/>
    <w:rsid w:val="0014439C"/>
    <w:rsid w:val="00146147"/>
    <w:rsid w:val="00157010"/>
    <w:rsid w:val="00176368"/>
    <w:rsid w:val="001768D6"/>
    <w:rsid w:val="001872DD"/>
    <w:rsid w:val="00187A08"/>
    <w:rsid w:val="001A3307"/>
    <w:rsid w:val="001A6B77"/>
    <w:rsid w:val="001B19E4"/>
    <w:rsid w:val="001C3DA0"/>
    <w:rsid w:val="001C7FDA"/>
    <w:rsid w:val="001E3E32"/>
    <w:rsid w:val="001E4C49"/>
    <w:rsid w:val="001F5CA6"/>
    <w:rsid w:val="00206A91"/>
    <w:rsid w:val="002070DE"/>
    <w:rsid w:val="00216C09"/>
    <w:rsid w:val="00223521"/>
    <w:rsid w:val="0022454C"/>
    <w:rsid w:val="00224A77"/>
    <w:rsid w:val="00225B19"/>
    <w:rsid w:val="00226862"/>
    <w:rsid w:val="00240932"/>
    <w:rsid w:val="0024297A"/>
    <w:rsid w:val="00245279"/>
    <w:rsid w:val="00252505"/>
    <w:rsid w:val="00252C2F"/>
    <w:rsid w:val="0026720D"/>
    <w:rsid w:val="00273101"/>
    <w:rsid w:val="002910D5"/>
    <w:rsid w:val="002A0683"/>
    <w:rsid w:val="002A3576"/>
    <w:rsid w:val="002A5C89"/>
    <w:rsid w:val="002C1FC5"/>
    <w:rsid w:val="002C3C4D"/>
    <w:rsid w:val="002C49D1"/>
    <w:rsid w:val="002D1BD7"/>
    <w:rsid w:val="002E1298"/>
    <w:rsid w:val="002E255B"/>
    <w:rsid w:val="002E518D"/>
    <w:rsid w:val="002E53F9"/>
    <w:rsid w:val="002E5B9F"/>
    <w:rsid w:val="002F0B27"/>
    <w:rsid w:val="002F5439"/>
    <w:rsid w:val="002F68B4"/>
    <w:rsid w:val="00301746"/>
    <w:rsid w:val="003040FA"/>
    <w:rsid w:val="00314C50"/>
    <w:rsid w:val="00315043"/>
    <w:rsid w:val="003332F7"/>
    <w:rsid w:val="00333C61"/>
    <w:rsid w:val="00333D9B"/>
    <w:rsid w:val="00340C5A"/>
    <w:rsid w:val="00340EA3"/>
    <w:rsid w:val="0035022E"/>
    <w:rsid w:val="00353F44"/>
    <w:rsid w:val="003675F8"/>
    <w:rsid w:val="00376B7A"/>
    <w:rsid w:val="00380709"/>
    <w:rsid w:val="00381A9B"/>
    <w:rsid w:val="00383341"/>
    <w:rsid w:val="00385997"/>
    <w:rsid w:val="003876A7"/>
    <w:rsid w:val="00393255"/>
    <w:rsid w:val="0039687D"/>
    <w:rsid w:val="003B6A76"/>
    <w:rsid w:val="003B7B4A"/>
    <w:rsid w:val="003C0782"/>
    <w:rsid w:val="003C0A02"/>
    <w:rsid w:val="003D1A7F"/>
    <w:rsid w:val="003E6F27"/>
    <w:rsid w:val="003E6FAE"/>
    <w:rsid w:val="003F3CA9"/>
    <w:rsid w:val="00400B65"/>
    <w:rsid w:val="00404F4C"/>
    <w:rsid w:val="0041498E"/>
    <w:rsid w:val="00417C14"/>
    <w:rsid w:val="004200D2"/>
    <w:rsid w:val="004251EF"/>
    <w:rsid w:val="00430C33"/>
    <w:rsid w:val="00432997"/>
    <w:rsid w:val="004353A8"/>
    <w:rsid w:val="004370DA"/>
    <w:rsid w:val="00444800"/>
    <w:rsid w:val="0045324B"/>
    <w:rsid w:val="00462C8C"/>
    <w:rsid w:val="00476918"/>
    <w:rsid w:val="0047767A"/>
    <w:rsid w:val="004804E3"/>
    <w:rsid w:val="00486073"/>
    <w:rsid w:val="00490C44"/>
    <w:rsid w:val="0049666D"/>
    <w:rsid w:val="004A3FDA"/>
    <w:rsid w:val="004C1D6D"/>
    <w:rsid w:val="004E3D01"/>
    <w:rsid w:val="004E7178"/>
    <w:rsid w:val="004F0F6D"/>
    <w:rsid w:val="0050011D"/>
    <w:rsid w:val="00503B3E"/>
    <w:rsid w:val="005212CF"/>
    <w:rsid w:val="0052751B"/>
    <w:rsid w:val="005351E6"/>
    <w:rsid w:val="00540DC7"/>
    <w:rsid w:val="0054598D"/>
    <w:rsid w:val="005462FB"/>
    <w:rsid w:val="00561A5B"/>
    <w:rsid w:val="00565B37"/>
    <w:rsid w:val="0057531E"/>
    <w:rsid w:val="00575EEC"/>
    <w:rsid w:val="0058673E"/>
    <w:rsid w:val="005A2BC0"/>
    <w:rsid w:val="005A3633"/>
    <w:rsid w:val="005A428C"/>
    <w:rsid w:val="005B304B"/>
    <w:rsid w:val="005B37C8"/>
    <w:rsid w:val="005B4167"/>
    <w:rsid w:val="005B432E"/>
    <w:rsid w:val="005B7533"/>
    <w:rsid w:val="005B7E49"/>
    <w:rsid w:val="005C2606"/>
    <w:rsid w:val="005C71E7"/>
    <w:rsid w:val="005D15A3"/>
    <w:rsid w:val="005D21BA"/>
    <w:rsid w:val="005E5A1D"/>
    <w:rsid w:val="00607487"/>
    <w:rsid w:val="0061241A"/>
    <w:rsid w:val="00614BCA"/>
    <w:rsid w:val="00615697"/>
    <w:rsid w:val="00617F9C"/>
    <w:rsid w:val="00620B56"/>
    <w:rsid w:val="00637A40"/>
    <w:rsid w:val="00653C33"/>
    <w:rsid w:val="0065514A"/>
    <w:rsid w:val="00656741"/>
    <w:rsid w:val="00666633"/>
    <w:rsid w:val="006710CF"/>
    <w:rsid w:val="0067421E"/>
    <w:rsid w:val="0068011A"/>
    <w:rsid w:val="00683147"/>
    <w:rsid w:val="00683E9E"/>
    <w:rsid w:val="006931A4"/>
    <w:rsid w:val="00695BA1"/>
    <w:rsid w:val="0069652A"/>
    <w:rsid w:val="006A5B6A"/>
    <w:rsid w:val="006A7C07"/>
    <w:rsid w:val="006B3944"/>
    <w:rsid w:val="006B3D42"/>
    <w:rsid w:val="006E1339"/>
    <w:rsid w:val="006E278D"/>
    <w:rsid w:val="006E6FE0"/>
    <w:rsid w:val="006E7C28"/>
    <w:rsid w:val="006F288C"/>
    <w:rsid w:val="006F6E96"/>
    <w:rsid w:val="007019EB"/>
    <w:rsid w:val="00706C53"/>
    <w:rsid w:val="007070C3"/>
    <w:rsid w:val="00707FE1"/>
    <w:rsid w:val="0071AF36"/>
    <w:rsid w:val="00743284"/>
    <w:rsid w:val="00745884"/>
    <w:rsid w:val="0075609E"/>
    <w:rsid w:val="00762193"/>
    <w:rsid w:val="00771CC4"/>
    <w:rsid w:val="00775614"/>
    <w:rsid w:val="00781162"/>
    <w:rsid w:val="00792E94"/>
    <w:rsid w:val="00797837"/>
    <w:rsid w:val="00797E78"/>
    <w:rsid w:val="007C03C9"/>
    <w:rsid w:val="007C15B4"/>
    <w:rsid w:val="007C5285"/>
    <w:rsid w:val="007D64A0"/>
    <w:rsid w:val="0080324D"/>
    <w:rsid w:val="008078FF"/>
    <w:rsid w:val="008117E7"/>
    <w:rsid w:val="00811F76"/>
    <w:rsid w:val="00844187"/>
    <w:rsid w:val="0084624F"/>
    <w:rsid w:val="00850C16"/>
    <w:rsid w:val="00852595"/>
    <w:rsid w:val="0085293A"/>
    <w:rsid w:val="00853096"/>
    <w:rsid w:val="00853CB6"/>
    <w:rsid w:val="00857D01"/>
    <w:rsid w:val="008719C8"/>
    <w:rsid w:val="008820D3"/>
    <w:rsid w:val="008825B0"/>
    <w:rsid w:val="008965F5"/>
    <w:rsid w:val="008A744B"/>
    <w:rsid w:val="008B0DE6"/>
    <w:rsid w:val="008B24B1"/>
    <w:rsid w:val="008C648C"/>
    <w:rsid w:val="008C79D5"/>
    <w:rsid w:val="008D0032"/>
    <w:rsid w:val="008D3A40"/>
    <w:rsid w:val="008D6AB4"/>
    <w:rsid w:val="008D785F"/>
    <w:rsid w:val="008E4FE0"/>
    <w:rsid w:val="008F4C56"/>
    <w:rsid w:val="00900A04"/>
    <w:rsid w:val="00912669"/>
    <w:rsid w:val="00922324"/>
    <w:rsid w:val="00922D68"/>
    <w:rsid w:val="009248FF"/>
    <w:rsid w:val="00924AC0"/>
    <w:rsid w:val="009307D4"/>
    <w:rsid w:val="00935DCA"/>
    <w:rsid w:val="009371F2"/>
    <w:rsid w:val="00942BAA"/>
    <w:rsid w:val="00942F4D"/>
    <w:rsid w:val="009574BB"/>
    <w:rsid w:val="00960AB7"/>
    <w:rsid w:val="00961D72"/>
    <w:rsid w:val="00972E37"/>
    <w:rsid w:val="0097357B"/>
    <w:rsid w:val="0097E5AD"/>
    <w:rsid w:val="0098067E"/>
    <w:rsid w:val="009840A2"/>
    <w:rsid w:val="009A38BF"/>
    <w:rsid w:val="009A3AB2"/>
    <w:rsid w:val="009ABD55"/>
    <w:rsid w:val="009B3126"/>
    <w:rsid w:val="009C2B26"/>
    <w:rsid w:val="009C4D64"/>
    <w:rsid w:val="009C786C"/>
    <w:rsid w:val="009D4479"/>
    <w:rsid w:val="009D4D0D"/>
    <w:rsid w:val="009F50F2"/>
    <w:rsid w:val="009F673F"/>
    <w:rsid w:val="00A022A9"/>
    <w:rsid w:val="00A04149"/>
    <w:rsid w:val="00A057A1"/>
    <w:rsid w:val="00A05A55"/>
    <w:rsid w:val="00A12113"/>
    <w:rsid w:val="00A15862"/>
    <w:rsid w:val="00A1654A"/>
    <w:rsid w:val="00A172D0"/>
    <w:rsid w:val="00A27C9B"/>
    <w:rsid w:val="00A361AE"/>
    <w:rsid w:val="00A507B6"/>
    <w:rsid w:val="00A55080"/>
    <w:rsid w:val="00A55C17"/>
    <w:rsid w:val="00A562E8"/>
    <w:rsid w:val="00A61192"/>
    <w:rsid w:val="00A643F9"/>
    <w:rsid w:val="00A65FD6"/>
    <w:rsid w:val="00A670CA"/>
    <w:rsid w:val="00A67332"/>
    <w:rsid w:val="00A673EA"/>
    <w:rsid w:val="00A67DAD"/>
    <w:rsid w:val="00A67FAF"/>
    <w:rsid w:val="00A71C1F"/>
    <w:rsid w:val="00A919E9"/>
    <w:rsid w:val="00A937E3"/>
    <w:rsid w:val="00AA3EE1"/>
    <w:rsid w:val="00AA6E9E"/>
    <w:rsid w:val="00AB1C8D"/>
    <w:rsid w:val="00AF73B7"/>
    <w:rsid w:val="00B03430"/>
    <w:rsid w:val="00B2144A"/>
    <w:rsid w:val="00B2187A"/>
    <w:rsid w:val="00B30447"/>
    <w:rsid w:val="00B373A9"/>
    <w:rsid w:val="00B52EA7"/>
    <w:rsid w:val="00B60E8C"/>
    <w:rsid w:val="00B64D2D"/>
    <w:rsid w:val="00B676CA"/>
    <w:rsid w:val="00B7390E"/>
    <w:rsid w:val="00B74195"/>
    <w:rsid w:val="00B757EB"/>
    <w:rsid w:val="00B81D82"/>
    <w:rsid w:val="00B87C35"/>
    <w:rsid w:val="00BA4C87"/>
    <w:rsid w:val="00BB355E"/>
    <w:rsid w:val="00BB56ED"/>
    <w:rsid w:val="00BD6287"/>
    <w:rsid w:val="00BE36A0"/>
    <w:rsid w:val="00BE4E03"/>
    <w:rsid w:val="00BF0664"/>
    <w:rsid w:val="00C00889"/>
    <w:rsid w:val="00C00BDA"/>
    <w:rsid w:val="00C049D3"/>
    <w:rsid w:val="00C06B30"/>
    <w:rsid w:val="00C1204D"/>
    <w:rsid w:val="00C15BC1"/>
    <w:rsid w:val="00C174D9"/>
    <w:rsid w:val="00C325EA"/>
    <w:rsid w:val="00C3460B"/>
    <w:rsid w:val="00C3778A"/>
    <w:rsid w:val="00C51B4F"/>
    <w:rsid w:val="00C600E7"/>
    <w:rsid w:val="00C714BF"/>
    <w:rsid w:val="00C78EC7"/>
    <w:rsid w:val="00C84806"/>
    <w:rsid w:val="00C9068E"/>
    <w:rsid w:val="00C9242E"/>
    <w:rsid w:val="00CB18E0"/>
    <w:rsid w:val="00CC5012"/>
    <w:rsid w:val="00CC65DC"/>
    <w:rsid w:val="00CC9BC1"/>
    <w:rsid w:val="00CD3FBD"/>
    <w:rsid w:val="00CD63EB"/>
    <w:rsid w:val="00CE46CA"/>
    <w:rsid w:val="00CE601C"/>
    <w:rsid w:val="00CF47A1"/>
    <w:rsid w:val="00D0380D"/>
    <w:rsid w:val="00D12163"/>
    <w:rsid w:val="00D13511"/>
    <w:rsid w:val="00D24265"/>
    <w:rsid w:val="00D25556"/>
    <w:rsid w:val="00D321F6"/>
    <w:rsid w:val="00D34A50"/>
    <w:rsid w:val="00D437B9"/>
    <w:rsid w:val="00D45A9F"/>
    <w:rsid w:val="00D46614"/>
    <w:rsid w:val="00D643C5"/>
    <w:rsid w:val="00D64422"/>
    <w:rsid w:val="00D726DF"/>
    <w:rsid w:val="00D95940"/>
    <w:rsid w:val="00DA3D07"/>
    <w:rsid w:val="00DB0F45"/>
    <w:rsid w:val="00DC6DE0"/>
    <w:rsid w:val="00DD4890"/>
    <w:rsid w:val="00DE26D7"/>
    <w:rsid w:val="00DF09EB"/>
    <w:rsid w:val="00DF56F4"/>
    <w:rsid w:val="00E0766A"/>
    <w:rsid w:val="00E153A1"/>
    <w:rsid w:val="00E175C4"/>
    <w:rsid w:val="00E20305"/>
    <w:rsid w:val="00E33341"/>
    <w:rsid w:val="00E336A3"/>
    <w:rsid w:val="00E40B22"/>
    <w:rsid w:val="00E46415"/>
    <w:rsid w:val="00E4D228"/>
    <w:rsid w:val="00E622B0"/>
    <w:rsid w:val="00E64E11"/>
    <w:rsid w:val="00E74314"/>
    <w:rsid w:val="00E8230C"/>
    <w:rsid w:val="00E92CE6"/>
    <w:rsid w:val="00E94A05"/>
    <w:rsid w:val="00EB3B07"/>
    <w:rsid w:val="00EB9032"/>
    <w:rsid w:val="00ED2C90"/>
    <w:rsid w:val="00EE044B"/>
    <w:rsid w:val="00F016F2"/>
    <w:rsid w:val="00F10A15"/>
    <w:rsid w:val="00F23D04"/>
    <w:rsid w:val="00F40064"/>
    <w:rsid w:val="00F40D07"/>
    <w:rsid w:val="00F453A5"/>
    <w:rsid w:val="00F643B9"/>
    <w:rsid w:val="00F70AFF"/>
    <w:rsid w:val="00F95CB3"/>
    <w:rsid w:val="00FA04C6"/>
    <w:rsid w:val="00FA269C"/>
    <w:rsid w:val="00FA538E"/>
    <w:rsid w:val="00FB3F20"/>
    <w:rsid w:val="00FC0F31"/>
    <w:rsid w:val="00FC239D"/>
    <w:rsid w:val="00FC311E"/>
    <w:rsid w:val="00FC676A"/>
    <w:rsid w:val="00FD1EB6"/>
    <w:rsid w:val="00FD3C08"/>
    <w:rsid w:val="00FE2F73"/>
    <w:rsid w:val="00FE3849"/>
    <w:rsid w:val="00FE3CE7"/>
    <w:rsid w:val="00FE4B26"/>
    <w:rsid w:val="00FF13EF"/>
    <w:rsid w:val="00FF4E11"/>
    <w:rsid w:val="00FF4F2F"/>
    <w:rsid w:val="011292CE"/>
    <w:rsid w:val="01231204"/>
    <w:rsid w:val="0131AFCA"/>
    <w:rsid w:val="016CB27C"/>
    <w:rsid w:val="0201FEFA"/>
    <w:rsid w:val="020D7F97"/>
    <w:rsid w:val="02217C4F"/>
    <w:rsid w:val="02876093"/>
    <w:rsid w:val="02CB75F2"/>
    <w:rsid w:val="03037444"/>
    <w:rsid w:val="030882DD"/>
    <w:rsid w:val="030D6E5F"/>
    <w:rsid w:val="032C78AA"/>
    <w:rsid w:val="03682FBF"/>
    <w:rsid w:val="042F04CE"/>
    <w:rsid w:val="042FF133"/>
    <w:rsid w:val="043F9076"/>
    <w:rsid w:val="047E19EB"/>
    <w:rsid w:val="04D72A13"/>
    <w:rsid w:val="04DC2981"/>
    <w:rsid w:val="0501B76B"/>
    <w:rsid w:val="050DD4CD"/>
    <w:rsid w:val="050EE4E6"/>
    <w:rsid w:val="0554C85A"/>
    <w:rsid w:val="056B225F"/>
    <w:rsid w:val="0586E487"/>
    <w:rsid w:val="05B09FB9"/>
    <w:rsid w:val="05BC9CA1"/>
    <w:rsid w:val="05CA2D9C"/>
    <w:rsid w:val="067820FA"/>
    <w:rsid w:val="06A56FC5"/>
    <w:rsid w:val="06BA41F9"/>
    <w:rsid w:val="06DA2950"/>
    <w:rsid w:val="06EC6658"/>
    <w:rsid w:val="07AE6B3C"/>
    <w:rsid w:val="07EB0DF0"/>
    <w:rsid w:val="07F35683"/>
    <w:rsid w:val="07F7281A"/>
    <w:rsid w:val="081B963E"/>
    <w:rsid w:val="08525FD1"/>
    <w:rsid w:val="08CC1921"/>
    <w:rsid w:val="0911611B"/>
    <w:rsid w:val="09799435"/>
    <w:rsid w:val="0986DE51"/>
    <w:rsid w:val="098ED776"/>
    <w:rsid w:val="09BE096F"/>
    <w:rsid w:val="09DD1087"/>
    <w:rsid w:val="09E63ED3"/>
    <w:rsid w:val="09EFAC02"/>
    <w:rsid w:val="09F646E3"/>
    <w:rsid w:val="0A2B98BA"/>
    <w:rsid w:val="0A968797"/>
    <w:rsid w:val="0AB32D00"/>
    <w:rsid w:val="0ABF864A"/>
    <w:rsid w:val="0AC4179B"/>
    <w:rsid w:val="0B01C510"/>
    <w:rsid w:val="0B069FB3"/>
    <w:rsid w:val="0B335CA9"/>
    <w:rsid w:val="0B746069"/>
    <w:rsid w:val="0B79D340"/>
    <w:rsid w:val="0BE4D956"/>
    <w:rsid w:val="0C28DBDC"/>
    <w:rsid w:val="0C604913"/>
    <w:rsid w:val="0CD51E11"/>
    <w:rsid w:val="0D2C25BA"/>
    <w:rsid w:val="0D2D870F"/>
    <w:rsid w:val="0D32869A"/>
    <w:rsid w:val="0DE8C7A1"/>
    <w:rsid w:val="0DF7AF4E"/>
    <w:rsid w:val="0E095C84"/>
    <w:rsid w:val="0E4B50EF"/>
    <w:rsid w:val="0E4EB335"/>
    <w:rsid w:val="0E633E77"/>
    <w:rsid w:val="0EE301AE"/>
    <w:rsid w:val="0F2D21FE"/>
    <w:rsid w:val="0F48E11A"/>
    <w:rsid w:val="0FA66B39"/>
    <w:rsid w:val="0FF1AD42"/>
    <w:rsid w:val="1006CDCC"/>
    <w:rsid w:val="104C520B"/>
    <w:rsid w:val="10627555"/>
    <w:rsid w:val="10657A68"/>
    <w:rsid w:val="1098A4E4"/>
    <w:rsid w:val="10E4B17B"/>
    <w:rsid w:val="10E8D772"/>
    <w:rsid w:val="11120268"/>
    <w:rsid w:val="11197414"/>
    <w:rsid w:val="1119A3D6"/>
    <w:rsid w:val="112D47E1"/>
    <w:rsid w:val="112E7C31"/>
    <w:rsid w:val="1163BABD"/>
    <w:rsid w:val="11851615"/>
    <w:rsid w:val="118A4019"/>
    <w:rsid w:val="11A431C4"/>
    <w:rsid w:val="1241E078"/>
    <w:rsid w:val="125C5009"/>
    <w:rsid w:val="126D5515"/>
    <w:rsid w:val="129E7EFD"/>
    <w:rsid w:val="1313DB89"/>
    <w:rsid w:val="1326107A"/>
    <w:rsid w:val="133E6E8E"/>
    <w:rsid w:val="13809267"/>
    <w:rsid w:val="13AA9160"/>
    <w:rsid w:val="1440BC28"/>
    <w:rsid w:val="14608899"/>
    <w:rsid w:val="149FBB14"/>
    <w:rsid w:val="14B69A75"/>
    <w:rsid w:val="14DA3EEF"/>
    <w:rsid w:val="154F3529"/>
    <w:rsid w:val="157E3590"/>
    <w:rsid w:val="15E8546E"/>
    <w:rsid w:val="16038462"/>
    <w:rsid w:val="16595D0C"/>
    <w:rsid w:val="166223AC"/>
    <w:rsid w:val="16ABE39F"/>
    <w:rsid w:val="16AFBFB5"/>
    <w:rsid w:val="16FE43A2"/>
    <w:rsid w:val="170E10C8"/>
    <w:rsid w:val="1740C638"/>
    <w:rsid w:val="174F3D11"/>
    <w:rsid w:val="1760D1DD"/>
    <w:rsid w:val="179F54C3"/>
    <w:rsid w:val="17C15EAB"/>
    <w:rsid w:val="17DB89D1"/>
    <w:rsid w:val="17DFC7A2"/>
    <w:rsid w:val="17E9E0D2"/>
    <w:rsid w:val="17EB0FF8"/>
    <w:rsid w:val="184A72F5"/>
    <w:rsid w:val="185763F0"/>
    <w:rsid w:val="187BB476"/>
    <w:rsid w:val="1895C053"/>
    <w:rsid w:val="18B6ECA8"/>
    <w:rsid w:val="18B9724E"/>
    <w:rsid w:val="18C47CF9"/>
    <w:rsid w:val="18D0C581"/>
    <w:rsid w:val="190136B3"/>
    <w:rsid w:val="191C9295"/>
    <w:rsid w:val="192B02D8"/>
    <w:rsid w:val="19512344"/>
    <w:rsid w:val="195555A9"/>
    <w:rsid w:val="197C25E2"/>
    <w:rsid w:val="198E79FE"/>
    <w:rsid w:val="19D99516"/>
    <w:rsid w:val="19F33451"/>
    <w:rsid w:val="1A17CE8C"/>
    <w:rsid w:val="1AA1A7C0"/>
    <w:rsid w:val="1AC6B00D"/>
    <w:rsid w:val="1AC7BE5F"/>
    <w:rsid w:val="1B3118B4"/>
    <w:rsid w:val="1B3712B2"/>
    <w:rsid w:val="1B48A129"/>
    <w:rsid w:val="1BC3B520"/>
    <w:rsid w:val="1BF45133"/>
    <w:rsid w:val="1BFB0EFE"/>
    <w:rsid w:val="1BFD43B0"/>
    <w:rsid w:val="1CB3CCFA"/>
    <w:rsid w:val="1DBAEF44"/>
    <w:rsid w:val="1DE9624F"/>
    <w:rsid w:val="1E3DA907"/>
    <w:rsid w:val="1E422035"/>
    <w:rsid w:val="1E7E372B"/>
    <w:rsid w:val="1EF84750"/>
    <w:rsid w:val="1F22CB87"/>
    <w:rsid w:val="1F306155"/>
    <w:rsid w:val="1F5665DF"/>
    <w:rsid w:val="1F59C4B5"/>
    <w:rsid w:val="1F640245"/>
    <w:rsid w:val="1F9C7CB0"/>
    <w:rsid w:val="1FE217A4"/>
    <w:rsid w:val="2045E8DF"/>
    <w:rsid w:val="205799AC"/>
    <w:rsid w:val="206A635B"/>
    <w:rsid w:val="2112FF43"/>
    <w:rsid w:val="213E2E4C"/>
    <w:rsid w:val="2145D1E5"/>
    <w:rsid w:val="215C0C12"/>
    <w:rsid w:val="2163EFF7"/>
    <w:rsid w:val="2185BF14"/>
    <w:rsid w:val="2186152A"/>
    <w:rsid w:val="21966BC6"/>
    <w:rsid w:val="21B7CEEA"/>
    <w:rsid w:val="21EC52E4"/>
    <w:rsid w:val="21F41079"/>
    <w:rsid w:val="220D977B"/>
    <w:rsid w:val="221D7C0C"/>
    <w:rsid w:val="222B2B48"/>
    <w:rsid w:val="22608A07"/>
    <w:rsid w:val="22984D41"/>
    <w:rsid w:val="22CD6A9A"/>
    <w:rsid w:val="22EA71EC"/>
    <w:rsid w:val="23276C29"/>
    <w:rsid w:val="23533BD8"/>
    <w:rsid w:val="2392F8B4"/>
    <w:rsid w:val="23A2041D"/>
    <w:rsid w:val="23CBC691"/>
    <w:rsid w:val="23F63CAA"/>
    <w:rsid w:val="244B9E08"/>
    <w:rsid w:val="252C3638"/>
    <w:rsid w:val="253808F2"/>
    <w:rsid w:val="254497E3"/>
    <w:rsid w:val="25B9D88A"/>
    <w:rsid w:val="25C90639"/>
    <w:rsid w:val="2602374E"/>
    <w:rsid w:val="263061C1"/>
    <w:rsid w:val="26C712FB"/>
    <w:rsid w:val="26E12E6D"/>
    <w:rsid w:val="27561FB9"/>
    <w:rsid w:val="28326E3E"/>
    <w:rsid w:val="285AD1B8"/>
    <w:rsid w:val="285B7162"/>
    <w:rsid w:val="286CEB16"/>
    <w:rsid w:val="28757540"/>
    <w:rsid w:val="287D4FA2"/>
    <w:rsid w:val="28AB367D"/>
    <w:rsid w:val="28F1F01A"/>
    <w:rsid w:val="2928EDB6"/>
    <w:rsid w:val="295E7D4A"/>
    <w:rsid w:val="2974DCAD"/>
    <w:rsid w:val="29973E31"/>
    <w:rsid w:val="29BAEBBE"/>
    <w:rsid w:val="29DB5D6A"/>
    <w:rsid w:val="29ECFAF5"/>
    <w:rsid w:val="2A0BF3FE"/>
    <w:rsid w:val="2A1145A1"/>
    <w:rsid w:val="2A45A698"/>
    <w:rsid w:val="2A636D86"/>
    <w:rsid w:val="2A684ADD"/>
    <w:rsid w:val="2A8CA6A3"/>
    <w:rsid w:val="2A8DC07B"/>
    <w:rsid w:val="2AB3B9F1"/>
    <w:rsid w:val="2B015D08"/>
    <w:rsid w:val="2B29DE64"/>
    <w:rsid w:val="2B2ACF89"/>
    <w:rsid w:val="2B6791C3"/>
    <w:rsid w:val="2BDC7224"/>
    <w:rsid w:val="2C055728"/>
    <w:rsid w:val="2CD9D1D7"/>
    <w:rsid w:val="2D36547F"/>
    <w:rsid w:val="2D3D1289"/>
    <w:rsid w:val="2D638446"/>
    <w:rsid w:val="2D6EF509"/>
    <w:rsid w:val="2D84E07D"/>
    <w:rsid w:val="2E05F4A7"/>
    <w:rsid w:val="2E18C224"/>
    <w:rsid w:val="2E19FF6A"/>
    <w:rsid w:val="2E500B0F"/>
    <w:rsid w:val="2E71A303"/>
    <w:rsid w:val="2EE1296C"/>
    <w:rsid w:val="2EFDC371"/>
    <w:rsid w:val="2F065429"/>
    <w:rsid w:val="2F32A434"/>
    <w:rsid w:val="2F5FB33E"/>
    <w:rsid w:val="2F84FAA6"/>
    <w:rsid w:val="2FB763D4"/>
    <w:rsid w:val="2FECCCDD"/>
    <w:rsid w:val="301584CE"/>
    <w:rsid w:val="306DF714"/>
    <w:rsid w:val="3073FCF8"/>
    <w:rsid w:val="30C89E12"/>
    <w:rsid w:val="311667C5"/>
    <w:rsid w:val="318425F5"/>
    <w:rsid w:val="31BD67B9"/>
    <w:rsid w:val="323F9AFF"/>
    <w:rsid w:val="32787D99"/>
    <w:rsid w:val="32A42F68"/>
    <w:rsid w:val="32CC6188"/>
    <w:rsid w:val="32FDDCAF"/>
    <w:rsid w:val="3302EB89"/>
    <w:rsid w:val="3319263D"/>
    <w:rsid w:val="335B0EE2"/>
    <w:rsid w:val="336DEDE4"/>
    <w:rsid w:val="338C6DA6"/>
    <w:rsid w:val="33B827E7"/>
    <w:rsid w:val="33BA794A"/>
    <w:rsid w:val="33CBD930"/>
    <w:rsid w:val="34372ED5"/>
    <w:rsid w:val="344E9C22"/>
    <w:rsid w:val="3453CEFF"/>
    <w:rsid w:val="351CE908"/>
    <w:rsid w:val="352775BC"/>
    <w:rsid w:val="35485CA7"/>
    <w:rsid w:val="35BFD6A6"/>
    <w:rsid w:val="35BFF49D"/>
    <w:rsid w:val="36219448"/>
    <w:rsid w:val="3639A634"/>
    <w:rsid w:val="3668DC61"/>
    <w:rsid w:val="367EEBC2"/>
    <w:rsid w:val="36820ECD"/>
    <w:rsid w:val="369428BB"/>
    <w:rsid w:val="36A6431D"/>
    <w:rsid w:val="36FCE002"/>
    <w:rsid w:val="3744A863"/>
    <w:rsid w:val="374DE7E5"/>
    <w:rsid w:val="376E37BE"/>
    <w:rsid w:val="37761879"/>
    <w:rsid w:val="37A9957F"/>
    <w:rsid w:val="3800155A"/>
    <w:rsid w:val="38273056"/>
    <w:rsid w:val="382E8005"/>
    <w:rsid w:val="382ED292"/>
    <w:rsid w:val="389F0E4B"/>
    <w:rsid w:val="38CAF574"/>
    <w:rsid w:val="390C96D7"/>
    <w:rsid w:val="3910A3B1"/>
    <w:rsid w:val="396A89D9"/>
    <w:rsid w:val="396F3B67"/>
    <w:rsid w:val="3972F813"/>
    <w:rsid w:val="397C25C1"/>
    <w:rsid w:val="39A50371"/>
    <w:rsid w:val="39BC1A57"/>
    <w:rsid w:val="3A108410"/>
    <w:rsid w:val="3A6EA5C2"/>
    <w:rsid w:val="3A8B7F21"/>
    <w:rsid w:val="3AF82319"/>
    <w:rsid w:val="3B68A728"/>
    <w:rsid w:val="3C503CB7"/>
    <w:rsid w:val="3C9CAC4B"/>
    <w:rsid w:val="3D1B1985"/>
    <w:rsid w:val="3D2C1BC9"/>
    <w:rsid w:val="3D53869A"/>
    <w:rsid w:val="3D84FF42"/>
    <w:rsid w:val="3D893B3A"/>
    <w:rsid w:val="3DC760EF"/>
    <w:rsid w:val="3DDBC270"/>
    <w:rsid w:val="3E140526"/>
    <w:rsid w:val="3E1DAABC"/>
    <w:rsid w:val="3E2CE6E8"/>
    <w:rsid w:val="3E45946C"/>
    <w:rsid w:val="3EB61F9D"/>
    <w:rsid w:val="3EBAF83E"/>
    <w:rsid w:val="3F147027"/>
    <w:rsid w:val="3F1EB87B"/>
    <w:rsid w:val="3F999A06"/>
    <w:rsid w:val="3FE543A5"/>
    <w:rsid w:val="3FFA9C4B"/>
    <w:rsid w:val="40771A74"/>
    <w:rsid w:val="4082C702"/>
    <w:rsid w:val="40BEA9EE"/>
    <w:rsid w:val="40EDA9BD"/>
    <w:rsid w:val="41041912"/>
    <w:rsid w:val="412DC769"/>
    <w:rsid w:val="418F8E0C"/>
    <w:rsid w:val="41D5624B"/>
    <w:rsid w:val="41FC72F7"/>
    <w:rsid w:val="42CFE5D3"/>
    <w:rsid w:val="42F590BF"/>
    <w:rsid w:val="42FA8402"/>
    <w:rsid w:val="43266CAC"/>
    <w:rsid w:val="445A21E1"/>
    <w:rsid w:val="44761636"/>
    <w:rsid w:val="4487DB44"/>
    <w:rsid w:val="44895B89"/>
    <w:rsid w:val="45729614"/>
    <w:rsid w:val="45A0C041"/>
    <w:rsid w:val="45B2C6F0"/>
    <w:rsid w:val="45BCCAA7"/>
    <w:rsid w:val="461214AC"/>
    <w:rsid w:val="46D1D67F"/>
    <w:rsid w:val="4721F90C"/>
    <w:rsid w:val="472CF7E4"/>
    <w:rsid w:val="47364324"/>
    <w:rsid w:val="474FECB5"/>
    <w:rsid w:val="479577D8"/>
    <w:rsid w:val="47A2F0EC"/>
    <w:rsid w:val="47D7E701"/>
    <w:rsid w:val="47F74BDF"/>
    <w:rsid w:val="486F5C0B"/>
    <w:rsid w:val="4A2DE10A"/>
    <w:rsid w:val="4A3C5502"/>
    <w:rsid w:val="4A521DCD"/>
    <w:rsid w:val="4A5DDC93"/>
    <w:rsid w:val="4A656C21"/>
    <w:rsid w:val="4A9511E9"/>
    <w:rsid w:val="4A98631C"/>
    <w:rsid w:val="4AB93462"/>
    <w:rsid w:val="4AC9CECC"/>
    <w:rsid w:val="4AFEFF6E"/>
    <w:rsid w:val="4B0EB0D6"/>
    <w:rsid w:val="4B32C5AE"/>
    <w:rsid w:val="4B73AFCB"/>
    <w:rsid w:val="4BA01348"/>
    <w:rsid w:val="4C4C5775"/>
    <w:rsid w:val="4C5FCCF9"/>
    <w:rsid w:val="4CCE3FDE"/>
    <w:rsid w:val="4CCE960F"/>
    <w:rsid w:val="4CE05E94"/>
    <w:rsid w:val="4D030D49"/>
    <w:rsid w:val="4D6CAECA"/>
    <w:rsid w:val="4DC0C9DC"/>
    <w:rsid w:val="4DD27979"/>
    <w:rsid w:val="4E12D033"/>
    <w:rsid w:val="4E500106"/>
    <w:rsid w:val="4E8DA168"/>
    <w:rsid w:val="4EA09A26"/>
    <w:rsid w:val="4EBBD2D9"/>
    <w:rsid w:val="4F0114C1"/>
    <w:rsid w:val="4F23C2F3"/>
    <w:rsid w:val="4F314DB6"/>
    <w:rsid w:val="4F9B9E5D"/>
    <w:rsid w:val="4FAD4053"/>
    <w:rsid w:val="4FDA705A"/>
    <w:rsid w:val="4FDD1E78"/>
    <w:rsid w:val="5021405F"/>
    <w:rsid w:val="506FD9A1"/>
    <w:rsid w:val="50779824"/>
    <w:rsid w:val="50EE38D8"/>
    <w:rsid w:val="5135F9E4"/>
    <w:rsid w:val="51620C0B"/>
    <w:rsid w:val="5163A297"/>
    <w:rsid w:val="5177C4EA"/>
    <w:rsid w:val="517AFA19"/>
    <w:rsid w:val="52064EAC"/>
    <w:rsid w:val="520BD1AF"/>
    <w:rsid w:val="520F5D9F"/>
    <w:rsid w:val="528B9022"/>
    <w:rsid w:val="528C477F"/>
    <w:rsid w:val="5291171B"/>
    <w:rsid w:val="52A54449"/>
    <w:rsid w:val="52AEDC2D"/>
    <w:rsid w:val="52B8EF10"/>
    <w:rsid w:val="53382D59"/>
    <w:rsid w:val="533CDBC3"/>
    <w:rsid w:val="53430B25"/>
    <w:rsid w:val="53AF9424"/>
    <w:rsid w:val="5405B95E"/>
    <w:rsid w:val="54796697"/>
    <w:rsid w:val="54A266B2"/>
    <w:rsid w:val="54AB426B"/>
    <w:rsid w:val="54F437CC"/>
    <w:rsid w:val="54F6FCEE"/>
    <w:rsid w:val="555F32B3"/>
    <w:rsid w:val="5582A6F1"/>
    <w:rsid w:val="558542E2"/>
    <w:rsid w:val="55A0ED49"/>
    <w:rsid w:val="55B1A0FF"/>
    <w:rsid w:val="568EA3A0"/>
    <w:rsid w:val="56B9CD34"/>
    <w:rsid w:val="56D68EB2"/>
    <w:rsid w:val="572F9C34"/>
    <w:rsid w:val="5731C1B2"/>
    <w:rsid w:val="573B07EE"/>
    <w:rsid w:val="5758EB5D"/>
    <w:rsid w:val="57719019"/>
    <w:rsid w:val="5780BD74"/>
    <w:rsid w:val="582D649B"/>
    <w:rsid w:val="585659FF"/>
    <w:rsid w:val="5859E256"/>
    <w:rsid w:val="5873B85B"/>
    <w:rsid w:val="58A3295B"/>
    <w:rsid w:val="590F7B77"/>
    <w:rsid w:val="5927A052"/>
    <w:rsid w:val="59514E10"/>
    <w:rsid w:val="595856CC"/>
    <w:rsid w:val="597F84F7"/>
    <w:rsid w:val="598AA782"/>
    <w:rsid w:val="5991E659"/>
    <w:rsid w:val="5994289B"/>
    <w:rsid w:val="59D7DC0E"/>
    <w:rsid w:val="59DCADA8"/>
    <w:rsid w:val="5A1C7FD7"/>
    <w:rsid w:val="5A6B9DB1"/>
    <w:rsid w:val="5A8A149E"/>
    <w:rsid w:val="5AA0B095"/>
    <w:rsid w:val="5ACB3223"/>
    <w:rsid w:val="5AD6E0AA"/>
    <w:rsid w:val="5AE5CA5C"/>
    <w:rsid w:val="5B068EC4"/>
    <w:rsid w:val="5B152338"/>
    <w:rsid w:val="5B3637E5"/>
    <w:rsid w:val="5B584635"/>
    <w:rsid w:val="5B6D19AD"/>
    <w:rsid w:val="5BAAE869"/>
    <w:rsid w:val="5BB5702E"/>
    <w:rsid w:val="5BC9014A"/>
    <w:rsid w:val="5C20CC22"/>
    <w:rsid w:val="5C26131A"/>
    <w:rsid w:val="5C34DD09"/>
    <w:rsid w:val="5C57D0B7"/>
    <w:rsid w:val="5C74F077"/>
    <w:rsid w:val="5C7D7CB5"/>
    <w:rsid w:val="5CC5BD68"/>
    <w:rsid w:val="5CD79A89"/>
    <w:rsid w:val="5D0679D5"/>
    <w:rsid w:val="5D0CB52E"/>
    <w:rsid w:val="5DA9F25E"/>
    <w:rsid w:val="5DBCC461"/>
    <w:rsid w:val="5E14EECD"/>
    <w:rsid w:val="5E5BA37D"/>
    <w:rsid w:val="5E7E6B57"/>
    <w:rsid w:val="5E954AF7"/>
    <w:rsid w:val="5ED1F6A3"/>
    <w:rsid w:val="5ED538F5"/>
    <w:rsid w:val="5EE55D13"/>
    <w:rsid w:val="5EFBFE97"/>
    <w:rsid w:val="5F48887E"/>
    <w:rsid w:val="5F7AFF30"/>
    <w:rsid w:val="5FAF4383"/>
    <w:rsid w:val="5FE4AE07"/>
    <w:rsid w:val="6031389C"/>
    <w:rsid w:val="604D4277"/>
    <w:rsid w:val="605431E2"/>
    <w:rsid w:val="6058064B"/>
    <w:rsid w:val="6058CCD2"/>
    <w:rsid w:val="605D3C87"/>
    <w:rsid w:val="6060229A"/>
    <w:rsid w:val="60E82B8D"/>
    <w:rsid w:val="60EF2684"/>
    <w:rsid w:val="615A649B"/>
    <w:rsid w:val="61E33E2D"/>
    <w:rsid w:val="61F2DE2B"/>
    <w:rsid w:val="61FBF2FB"/>
    <w:rsid w:val="623A8FF1"/>
    <w:rsid w:val="6286FFC8"/>
    <w:rsid w:val="62981FE8"/>
    <w:rsid w:val="62AC7BC6"/>
    <w:rsid w:val="62E813C3"/>
    <w:rsid w:val="62FE31A9"/>
    <w:rsid w:val="6315A99F"/>
    <w:rsid w:val="632ACB7F"/>
    <w:rsid w:val="633B4DD5"/>
    <w:rsid w:val="63F3680F"/>
    <w:rsid w:val="649AD258"/>
    <w:rsid w:val="64AE56A6"/>
    <w:rsid w:val="64AEF4CB"/>
    <w:rsid w:val="65244FAE"/>
    <w:rsid w:val="652C70F2"/>
    <w:rsid w:val="655204FC"/>
    <w:rsid w:val="6602AA60"/>
    <w:rsid w:val="6680DDB5"/>
    <w:rsid w:val="66875106"/>
    <w:rsid w:val="668EA7A1"/>
    <w:rsid w:val="66BDBD63"/>
    <w:rsid w:val="66C4464B"/>
    <w:rsid w:val="66C9C00C"/>
    <w:rsid w:val="66F40C6F"/>
    <w:rsid w:val="670A9FE4"/>
    <w:rsid w:val="67280903"/>
    <w:rsid w:val="6731D2B9"/>
    <w:rsid w:val="6783E1A5"/>
    <w:rsid w:val="678779E2"/>
    <w:rsid w:val="67DB8BF8"/>
    <w:rsid w:val="67FD9A97"/>
    <w:rsid w:val="682D5A7D"/>
    <w:rsid w:val="684E38BC"/>
    <w:rsid w:val="68A9D27A"/>
    <w:rsid w:val="68B2A2CA"/>
    <w:rsid w:val="68C0BDE3"/>
    <w:rsid w:val="68CDC336"/>
    <w:rsid w:val="68DF0D0F"/>
    <w:rsid w:val="690ED255"/>
    <w:rsid w:val="69347EB7"/>
    <w:rsid w:val="693A4B22"/>
    <w:rsid w:val="69438F46"/>
    <w:rsid w:val="6A45A2DB"/>
    <w:rsid w:val="6A46732E"/>
    <w:rsid w:val="6A9EAD31"/>
    <w:rsid w:val="6B942EF5"/>
    <w:rsid w:val="6B998675"/>
    <w:rsid w:val="6BEEC20B"/>
    <w:rsid w:val="6C2C7D68"/>
    <w:rsid w:val="6C6455B4"/>
    <w:rsid w:val="6C9E1510"/>
    <w:rsid w:val="6D2DE448"/>
    <w:rsid w:val="6D42797A"/>
    <w:rsid w:val="6D435D3F"/>
    <w:rsid w:val="6D4C742F"/>
    <w:rsid w:val="6D61E2FE"/>
    <w:rsid w:val="6D7D439D"/>
    <w:rsid w:val="6DB8C115"/>
    <w:rsid w:val="6DF254CC"/>
    <w:rsid w:val="6E074472"/>
    <w:rsid w:val="6E26E4A2"/>
    <w:rsid w:val="6E2BAA1A"/>
    <w:rsid w:val="6E9877B7"/>
    <w:rsid w:val="6F456FE0"/>
    <w:rsid w:val="6F96603C"/>
    <w:rsid w:val="702AEC4D"/>
    <w:rsid w:val="70633AD2"/>
    <w:rsid w:val="707405D8"/>
    <w:rsid w:val="7087FDC1"/>
    <w:rsid w:val="70BACE0C"/>
    <w:rsid w:val="70C1F90E"/>
    <w:rsid w:val="70DAAF56"/>
    <w:rsid w:val="70DBE457"/>
    <w:rsid w:val="710D5208"/>
    <w:rsid w:val="7135D596"/>
    <w:rsid w:val="714BCB18"/>
    <w:rsid w:val="7150BA9B"/>
    <w:rsid w:val="715E8564"/>
    <w:rsid w:val="71601567"/>
    <w:rsid w:val="716A873C"/>
    <w:rsid w:val="7198F0FC"/>
    <w:rsid w:val="71C823CB"/>
    <w:rsid w:val="71D733DC"/>
    <w:rsid w:val="72043D36"/>
    <w:rsid w:val="720C279F"/>
    <w:rsid w:val="733D45D4"/>
    <w:rsid w:val="73EC8521"/>
    <w:rsid w:val="7418E103"/>
    <w:rsid w:val="7491CAE6"/>
    <w:rsid w:val="74962626"/>
    <w:rsid w:val="74D6E7EF"/>
    <w:rsid w:val="74F448AA"/>
    <w:rsid w:val="751ED6A3"/>
    <w:rsid w:val="75307E4A"/>
    <w:rsid w:val="755EC259"/>
    <w:rsid w:val="75792BBE"/>
    <w:rsid w:val="757A04E0"/>
    <w:rsid w:val="75AD03E7"/>
    <w:rsid w:val="75B047F2"/>
    <w:rsid w:val="7618CE2A"/>
    <w:rsid w:val="777290B5"/>
    <w:rsid w:val="77BF8231"/>
    <w:rsid w:val="7827F827"/>
    <w:rsid w:val="78545936"/>
    <w:rsid w:val="789B3811"/>
    <w:rsid w:val="7943ECE0"/>
    <w:rsid w:val="797100B1"/>
    <w:rsid w:val="79A24743"/>
    <w:rsid w:val="79F4E8EC"/>
    <w:rsid w:val="7A3974C4"/>
    <w:rsid w:val="7A62367E"/>
    <w:rsid w:val="7A623D8F"/>
    <w:rsid w:val="7A7C4EAD"/>
    <w:rsid w:val="7ACEF0B7"/>
    <w:rsid w:val="7B194DFE"/>
    <w:rsid w:val="7B219522"/>
    <w:rsid w:val="7B6B96C8"/>
    <w:rsid w:val="7B972233"/>
    <w:rsid w:val="7C181F0E"/>
    <w:rsid w:val="7C4112EB"/>
    <w:rsid w:val="7C97BBC1"/>
    <w:rsid w:val="7C9EFDA8"/>
    <w:rsid w:val="7CC90467"/>
    <w:rsid w:val="7D0F3931"/>
    <w:rsid w:val="7D241033"/>
    <w:rsid w:val="7D4995C4"/>
    <w:rsid w:val="7D7E94C0"/>
    <w:rsid w:val="7DAD3165"/>
    <w:rsid w:val="7DB1173E"/>
    <w:rsid w:val="7DD5BE45"/>
    <w:rsid w:val="7DDA612C"/>
    <w:rsid w:val="7DFBB4DD"/>
    <w:rsid w:val="7E16C885"/>
    <w:rsid w:val="7EB218C7"/>
    <w:rsid w:val="7ED287B8"/>
    <w:rsid w:val="7EEE83EA"/>
    <w:rsid w:val="7F374723"/>
    <w:rsid w:val="7FB99FC7"/>
    <w:rsid w:val="7FD0ED77"/>
    <w:rsid w:val="7FF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1A53"/>
  <w15:chartTrackingRefBased/>
  <w15:docId w15:val="{2A4C0551-4DB7-420A-8675-CB30E6068A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EEC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75E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01" w:customStyle="1">
    <w:name w:val="fontstyle01"/>
    <w:basedOn w:val="Policepardfaut"/>
    <w:rsid w:val="00900A04"/>
    <w:rPr>
      <w:rFonts w:hint="default" w:ascii="Tahoma-Bold" w:hAnsi="Tahoma-Bold"/>
      <w:b/>
      <w:bCs/>
      <w:i w:val="0"/>
      <w:iCs w:val="0"/>
      <w:color w:val="000000"/>
      <w:sz w:val="22"/>
      <w:szCs w:val="22"/>
    </w:rPr>
  </w:style>
  <w:style w:type="paragraph" w:styleId="Rvision">
    <w:name w:val="Revision"/>
    <w:hidden/>
    <w:uiPriority w:val="99"/>
    <w:semiHidden/>
    <w:rsid w:val="00AA3EE1"/>
    <w:pPr>
      <w:jc w:val="left"/>
    </w:p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styleId="Paragraphedeliste">
    <w:name w:val="List Paragraph"/>
    <w:basedOn w:val="Normal"/>
    <w:uiPriority w:val="34"/>
    <w:qFormat/>
    <w:rsid w:val="006074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50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04F4C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404F4C"/>
  </w:style>
  <w:style w:type="character" w:styleId="eop" w:customStyle="1">
    <w:name w:val="eop"/>
    <w:basedOn w:val="Policepardfaut"/>
    <w:rsid w:val="00404F4C"/>
  </w:style>
  <w:style w:type="character" w:styleId="Marquedecommentaire">
    <w:name w:val="annotation reference"/>
    <w:basedOn w:val="Policepardfaut"/>
    <w:uiPriority w:val="99"/>
    <w:semiHidden/>
    <w:unhideWhenUsed/>
    <w:rsid w:val="00B757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57EB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B757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7E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757EB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0D07"/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F40D0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40D0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0D07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F40D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0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ur03.safelinks.protection.outlook.com/?url=https%3A%2F%2Fwww.grandorlyseinebievre.fr%2Fbourse-innovation&amp;data=05%7C01%7Camelia.pigal%40grandorlyseinebievre.fr%7Cb8b28ef59101400235c408dbf7d15ef7%7C74a15b3295854a08afd5162dbc1f9b4e%7C0%7C0%7C638376250829989110%7CUnknown%7CTWFpbGZsb3d8eyJWIjoiMC4wLjAwMDAiLCJQIjoiV2luMzIiLCJBTiI6Ik1haWwiLCJXVCI6Mn0%3D%7C3000%7C%7C%7C&amp;sdata=dP%2BMj%2BO0s%2B9gQ%2B0EOoul8i8VcYmrtLXiG%2BynD6%2FWO5w%3D&amp;reserved=0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bourseinnovation@grandorlyseinebievre.fr" TargetMode="External" Id="rId14" /><Relationship Type="http://schemas.openxmlformats.org/officeDocument/2006/relationships/hyperlink" Target="https://eur03.safelinks.protection.outlook.com/?url=https%3A%2F%2Fwww.grandorlyseinebievre.fr%2Fbourse-innovation&amp;data=05%7C01%7Camelia.pigal%40grandorlyseinebievre.fr%7Cb8b28ef59101400235c408dbf7d15ef7%7C74a15b3295854a08afd5162dbc1f9b4e%7C0%7C0%7C638376250829989110%7CUnknown%7CTWFpbGZsb3d8eyJWIjoiMC4wLjAwMDAiLCJQIjoiV2luMzIiLCJBTiI6Ik1haWwiLCJXVCI6Mn0%3D%7C3000%7C%7C%7C&amp;sdata=dP%2BMj%2BO0s%2B9gQ%2B0EOoul8i8VcYmrtLXiG%2BynD6%2FWO5w%3D&amp;reserved=0" TargetMode="External" Id="Rc1d92279482742d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affdb-71fb-459d-b0b1-e24a9f2f30f7">
      <Terms xmlns="http://schemas.microsoft.com/office/infopath/2007/PartnerControls"/>
    </lcf76f155ced4ddcb4097134ff3c332f>
    <TaxCatchAll xmlns="a6be7434-6347-4718-915e-b1d8e317b0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3A4E1956DA74DA498F49FC4BA477F" ma:contentTypeVersion="18" ma:contentTypeDescription="Create a new document." ma:contentTypeScope="" ma:versionID="8630d298d2610acb9e43d4d315752fc9">
  <xsd:schema xmlns:xsd="http://www.w3.org/2001/XMLSchema" xmlns:xs="http://www.w3.org/2001/XMLSchema" xmlns:p="http://schemas.microsoft.com/office/2006/metadata/properties" xmlns:ns2="48caffdb-71fb-459d-b0b1-e24a9f2f30f7" xmlns:ns3="a6be7434-6347-4718-915e-b1d8e317b064" targetNamespace="http://schemas.microsoft.com/office/2006/metadata/properties" ma:root="true" ma:fieldsID="8dedc5a66e8cd7fe8befeacadae2e601" ns2:_="" ns3:_="">
    <xsd:import namespace="48caffdb-71fb-459d-b0b1-e24a9f2f30f7"/>
    <xsd:import namespace="a6be7434-6347-4718-915e-b1d8e317b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fdb-71fb-459d-b0b1-e24a9f2f3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7434-6347-4718-915e-b1d8e317b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56357c-0504-45bf-87a4-ca5f086260aa}" ma:internalName="TaxCatchAll" ma:showField="CatchAllData" ma:web="a6be7434-6347-4718-915e-b1d8e317b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1CCE-9E70-4BD6-9690-5DCD35C664AE}">
  <ds:schemaRefs>
    <ds:schemaRef ds:uri="http://schemas.microsoft.com/office/2006/metadata/properties"/>
    <ds:schemaRef ds:uri="http://schemas.microsoft.com/office/infopath/2007/PartnerControls"/>
    <ds:schemaRef ds:uri="48caffdb-71fb-459d-b0b1-e24a9f2f30f7"/>
    <ds:schemaRef ds:uri="a6be7434-6347-4718-915e-b1d8e317b064"/>
  </ds:schemaRefs>
</ds:datastoreItem>
</file>

<file path=customXml/itemProps2.xml><?xml version="1.0" encoding="utf-8"?>
<ds:datastoreItem xmlns:ds="http://schemas.openxmlformats.org/officeDocument/2006/customXml" ds:itemID="{2F037493-F318-49FF-A664-A7C3E163DBDF}"/>
</file>

<file path=customXml/itemProps3.xml><?xml version="1.0" encoding="utf-8"?>
<ds:datastoreItem xmlns:ds="http://schemas.openxmlformats.org/officeDocument/2006/customXml" ds:itemID="{379C9793-487F-488C-96D7-E15110820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338AC-E322-40F7-9630-78DB6C9BBC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Gilles BAILLEUX</dc:creator>
  <keywords/>
  <dc:description/>
  <lastModifiedBy>Yann LEHUEDE</lastModifiedBy>
  <revision>98</revision>
  <lastPrinted>2024-11-13T10:06:00.0000000Z</lastPrinted>
  <dcterms:created xsi:type="dcterms:W3CDTF">2024-10-17T21:18:00.0000000Z</dcterms:created>
  <dcterms:modified xsi:type="dcterms:W3CDTF">2024-11-29T08:45:26.4315332Z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0x0101001D43A4E1956DA74DA498F49FC4BA477F</vt:lpwstr>
  </property>
  <property fmtid="{D5CDD505-2E9C-101B-9397-08002B2CF9AE}" pid="3" name="MediaServiceImageTags">
    <vt:lpwstr/>
  </property>
</Properties>
</file>